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14756F" w:rsidRPr="0014756F">
        <w:t>R1-18</w:t>
      </w:r>
      <w:r w:rsidR="00C308A1">
        <w:t>05638</w:t>
      </w:r>
    </w:p>
    <w:p w:rsidR="00E658DA" w:rsidRPr="000833FA" w:rsidRDefault="00E658DA" w:rsidP="00E658DA">
      <w:pPr>
        <w:pStyle w:val="Header"/>
        <w:rPr>
          <w:color w:val="000000"/>
        </w:rPr>
      </w:pPr>
      <w:r>
        <w:t>Sanya, China, April 16 – 20,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78772E">
        <w:t>Summary</w:t>
      </w:r>
      <w:bookmarkStart w:id="1" w:name="_GoBack"/>
      <w:bookmarkEnd w:id="1"/>
      <w:r w:rsidR="00456D9E">
        <w:t xml:space="preserve"> of offline discussion on </w:t>
      </w:r>
      <w:r w:rsidR="00C60FA1">
        <w:t>7.</w:t>
      </w:r>
      <w:r w:rsidR="00E86352">
        <w:t>1.</w:t>
      </w:r>
      <w:r w:rsidR="00C60FA1">
        <w:t>3.1.4</w:t>
      </w:r>
      <w:r w:rsidR="00365BA9">
        <w:t xml:space="preserve"> (</w:t>
      </w:r>
      <w:r w:rsidR="00365BA9" w:rsidRPr="00365BA9">
        <w:t>DCI contents and formats</w:t>
      </w:r>
      <w:r w:rsidR="00365BA9">
        <w:t>)</w:t>
      </w:r>
      <w:r w:rsidR="00456D9E">
        <w:t xml:space="preserve"> part II</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3.1</w:t>
      </w:r>
      <w:r w:rsidR="00E25B87">
        <w:t>.</w:t>
      </w:r>
      <w:r w:rsidR="00900A98">
        <w:t>4</w:t>
      </w:r>
      <w:bookmarkEnd w:id="3"/>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87050B" w:rsidP="00D92AB5">
      <w:pPr>
        <w:pStyle w:val="Heading1"/>
      </w:pPr>
      <w:r>
        <w:t>Bckground</w:t>
      </w:r>
    </w:p>
    <w:p w:rsidR="009B505D" w:rsidRDefault="009B505D" w:rsidP="009B505D">
      <w:pPr>
        <w:pStyle w:val="BodyText"/>
      </w:pPr>
      <w:r>
        <w:t>From RAN1 January AdHoc on NR:</w:t>
      </w:r>
    </w:p>
    <w:p w:rsidR="009B505D" w:rsidRPr="00444512" w:rsidRDefault="009B505D" w:rsidP="009B505D">
      <w:pPr>
        <w:pStyle w:val="BodyText"/>
      </w:pPr>
      <w:r>
        <w:rPr>
          <w:noProof/>
        </w:rPr>
        <mc:AlternateContent>
          <mc:Choice Requires="wps">
            <w:drawing>
              <wp:inline distT="0" distB="0" distL="0" distR="0" wp14:anchorId="3ECE862E" wp14:editId="13FE6330">
                <wp:extent cx="5932627" cy="1404620"/>
                <wp:effectExtent l="0" t="0" r="11430"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4620"/>
                        </a:xfrm>
                        <a:prstGeom prst="rect">
                          <a:avLst/>
                        </a:prstGeom>
                        <a:solidFill>
                          <a:srgbClr val="FFFFFF"/>
                        </a:solidFill>
                        <a:ln w="9525">
                          <a:solidFill>
                            <a:srgbClr val="000000"/>
                          </a:solidFill>
                          <a:miter lim="800000"/>
                          <a:headEnd/>
                          <a:tailEnd/>
                        </a:ln>
                      </wps:spPr>
                      <wps:txbx>
                        <w:txbxContent>
                          <w:p w:rsidR="00BD4CF7" w:rsidRPr="00041508" w:rsidRDefault="00BD4CF7" w:rsidP="009B505D">
                            <w:pPr>
                              <w:rPr>
                                <w:b/>
                                <w:szCs w:val="20"/>
                                <w:lang w:eastAsia="x-none"/>
                              </w:rPr>
                            </w:pPr>
                            <w:r w:rsidRPr="00041508">
                              <w:rPr>
                                <w:szCs w:val="20"/>
                                <w:highlight w:val="green"/>
                                <w:lang w:eastAsia="x-none"/>
                              </w:rPr>
                              <w:t>Agreements</w:t>
                            </w:r>
                            <w:r w:rsidRPr="00041508">
                              <w:rPr>
                                <w:b/>
                                <w:szCs w:val="20"/>
                                <w:lang w:eastAsia="x-none"/>
                              </w:rPr>
                              <w:t>:</w:t>
                            </w:r>
                          </w:p>
                          <w:p w:rsidR="00BD4CF7" w:rsidRPr="00041508" w:rsidRDefault="00BD4CF7" w:rsidP="009B505D">
                            <w:pPr>
                              <w:pStyle w:val="BodyText"/>
                              <w:rPr>
                                <w:szCs w:val="20"/>
                              </w:rPr>
                            </w:pPr>
                            <w:r w:rsidRPr="00041508">
                              <w:rPr>
                                <w:szCs w:val="20"/>
                              </w:rPr>
                              <w:t>For one carrier:</w:t>
                            </w:r>
                          </w:p>
                          <w:p w:rsidR="00BD4CF7" w:rsidRPr="00041508" w:rsidRDefault="00BD4CF7"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BD4CF7" w:rsidRPr="00041508" w:rsidRDefault="00BD4CF7"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BD4CF7" w:rsidRPr="00041508" w:rsidRDefault="00BD4CF7" w:rsidP="00C767FF">
                            <w:pPr>
                              <w:pStyle w:val="BodyText"/>
                              <w:numPr>
                                <w:ilvl w:val="1"/>
                                <w:numId w:val="4"/>
                              </w:numPr>
                              <w:rPr>
                                <w:szCs w:val="20"/>
                              </w:rPr>
                            </w:pPr>
                            <w:r w:rsidRPr="00041508">
                              <w:rPr>
                                <w:szCs w:val="20"/>
                              </w:rPr>
                              <w:t>At most 3 different DCI sizes are monitored per C-RNTI per slot</w:t>
                            </w:r>
                          </w:p>
                          <w:p w:rsidR="00BD4CF7" w:rsidRDefault="00BD4CF7" w:rsidP="00C767FF">
                            <w:pPr>
                              <w:pStyle w:val="BodyText"/>
                              <w:numPr>
                                <w:ilvl w:val="0"/>
                                <w:numId w:val="4"/>
                              </w:numPr>
                            </w:pPr>
                            <w:r w:rsidRPr="00444512">
                              <w:rPr>
                                <w:szCs w:val="20"/>
                              </w:rPr>
                              <w:t>Payload size for formats 0-1 and 1-1 may differ</w:t>
                            </w:r>
                          </w:p>
                        </w:txbxContent>
                      </wps:txbx>
                      <wps:bodyPr rot="0" vert="horz" wrap="square" lIns="91440" tIns="45720" rIns="91440" bIns="45720" anchor="t" anchorCtr="0">
                        <a:spAutoFit/>
                      </wps:bodyPr>
                    </wps:wsp>
                  </a:graphicData>
                </a:graphic>
              </wp:inline>
            </w:drawing>
          </mc:Choice>
          <mc:Fallback>
            <w:pict>
              <v:shapetype w14:anchorId="3ECE862E" id="_x0000_t202" coordsize="21600,21600" o:spt="202" path="m,l,21600r21600,l21600,xe">
                <v:stroke joinstyle="miter"/>
                <v:path gradientshapeok="t" o:connecttype="rect"/>
              </v:shapetype>
              <v:shape id="Text Box 2" o:spid="_x0000_s1026" type="#_x0000_t202" style="width:46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">
                <v:textbox style="mso-fit-shape-to-text:t">
                  <w:txbxContent>
                    <w:p w:rsidR="00BD4CF7" w:rsidRPr="00041508" w:rsidRDefault="00BD4CF7" w:rsidP="009B505D">
                      <w:pPr>
                        <w:rPr>
                          <w:b/>
                          <w:szCs w:val="20"/>
                          <w:lang w:eastAsia="x-none"/>
                        </w:rPr>
                      </w:pPr>
                      <w:r w:rsidRPr="00041508">
                        <w:rPr>
                          <w:szCs w:val="20"/>
                          <w:highlight w:val="green"/>
                          <w:lang w:eastAsia="x-none"/>
                        </w:rPr>
                        <w:t>Agreements</w:t>
                      </w:r>
                      <w:r w:rsidRPr="00041508">
                        <w:rPr>
                          <w:b/>
                          <w:szCs w:val="20"/>
                          <w:lang w:eastAsia="x-none"/>
                        </w:rPr>
                        <w:t>:</w:t>
                      </w:r>
                    </w:p>
                    <w:p w:rsidR="00BD4CF7" w:rsidRPr="00041508" w:rsidRDefault="00BD4CF7" w:rsidP="009B505D">
                      <w:pPr>
                        <w:pStyle w:val="BodyText"/>
                        <w:rPr>
                          <w:szCs w:val="20"/>
                        </w:rPr>
                      </w:pPr>
                      <w:r w:rsidRPr="00041508">
                        <w:rPr>
                          <w:szCs w:val="20"/>
                        </w:rPr>
                        <w:t>For one carrier:</w:t>
                      </w:r>
                    </w:p>
                    <w:p w:rsidR="00BD4CF7" w:rsidRPr="00041508" w:rsidRDefault="00BD4CF7"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BD4CF7" w:rsidRPr="00041508" w:rsidRDefault="00BD4CF7"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BD4CF7" w:rsidRPr="00041508" w:rsidRDefault="00BD4CF7" w:rsidP="00C767FF">
                      <w:pPr>
                        <w:pStyle w:val="BodyText"/>
                        <w:numPr>
                          <w:ilvl w:val="1"/>
                          <w:numId w:val="4"/>
                        </w:numPr>
                        <w:rPr>
                          <w:szCs w:val="20"/>
                        </w:rPr>
                      </w:pPr>
                      <w:r w:rsidRPr="00041508">
                        <w:rPr>
                          <w:szCs w:val="20"/>
                        </w:rPr>
                        <w:t>At most 3 different DCI sizes are monitored per C-RNTI per slot</w:t>
                      </w:r>
                    </w:p>
                    <w:p w:rsidR="00BD4CF7" w:rsidRDefault="00BD4CF7" w:rsidP="00C767FF">
                      <w:pPr>
                        <w:pStyle w:val="BodyText"/>
                        <w:numPr>
                          <w:ilvl w:val="0"/>
                          <w:numId w:val="4"/>
                        </w:numPr>
                      </w:pPr>
                      <w:r w:rsidRPr="00444512">
                        <w:rPr>
                          <w:szCs w:val="20"/>
                        </w:rPr>
                        <w:t>Payload size for formats 0-1 and 1-1 may differ</w:t>
                      </w:r>
                    </w:p>
                  </w:txbxContent>
                </v:textbox>
                <w10:anchorlock/>
              </v:shape>
            </w:pict>
          </mc:Fallback>
        </mc:AlternateContent>
      </w:r>
    </w:p>
    <w:p w:rsidR="009B505D" w:rsidRDefault="009B505D" w:rsidP="009B505D">
      <w:pPr>
        <w:pStyle w:val="BodyText"/>
      </w:pPr>
      <w:r>
        <w:t>From RAN1#92:</w:t>
      </w:r>
    </w:p>
    <w:p w:rsidR="009B505D" w:rsidRDefault="009B505D" w:rsidP="009B505D">
      <w:pPr>
        <w:pStyle w:val="BodyText"/>
      </w:pPr>
      <w:r>
        <w:rPr>
          <w:noProof/>
        </w:rPr>
        <mc:AlternateContent>
          <mc:Choice Requires="wps">
            <w:drawing>
              <wp:inline distT="0" distB="0" distL="0" distR="0" wp14:anchorId="212FDF10" wp14:editId="448D2C3F">
                <wp:extent cx="5910681" cy="1404620"/>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1" cy="1404620"/>
                        </a:xfrm>
                        <a:prstGeom prst="rect">
                          <a:avLst/>
                        </a:prstGeom>
                        <a:solidFill>
                          <a:srgbClr val="FFFFFF"/>
                        </a:solidFill>
                        <a:ln w="9525">
                          <a:solidFill>
                            <a:srgbClr val="000000"/>
                          </a:solidFill>
                          <a:miter lim="800000"/>
                          <a:headEnd/>
                          <a:tailEnd/>
                        </a:ln>
                      </wps:spPr>
                      <wps:txbx>
                        <w:txbxContent>
                          <w:p w:rsidR="00BD4CF7" w:rsidRPr="00AF1A70" w:rsidRDefault="00BD4CF7" w:rsidP="009B505D">
                            <w:pPr>
                              <w:pStyle w:val="BodyText"/>
                              <w:rPr>
                                <w:szCs w:val="20"/>
                              </w:rPr>
                            </w:pPr>
                            <w:r w:rsidRPr="00AF1A70">
                              <w:rPr>
                                <w:szCs w:val="20"/>
                                <w:highlight w:val="green"/>
                              </w:rPr>
                              <w:t>Agreements</w:t>
                            </w:r>
                            <w:r w:rsidRPr="00AF1A70">
                              <w:rPr>
                                <w:szCs w:val="20"/>
                              </w:rPr>
                              <w:t>:</w:t>
                            </w:r>
                          </w:p>
                          <w:p w:rsidR="00BD4CF7" w:rsidRPr="00AF1A70" w:rsidRDefault="00BD4CF7" w:rsidP="00C767FF">
                            <w:pPr>
                              <w:pStyle w:val="BodyText"/>
                              <w:numPr>
                                <w:ilvl w:val="0"/>
                                <w:numId w:val="6"/>
                              </w:numPr>
                              <w:rPr>
                                <w:szCs w:val="20"/>
                              </w:rPr>
                            </w:pPr>
                            <w:r w:rsidRPr="00AF1A70">
                              <w:rPr>
                                <w:szCs w:val="20"/>
                              </w:rPr>
                              <w:t xml:space="preserve">DCI formats 0-0/1-0, 0-1, and 1-1 can have different sizes. </w:t>
                            </w:r>
                          </w:p>
                          <w:p w:rsidR="00BD4CF7" w:rsidRPr="00AF1A70" w:rsidRDefault="00BD4CF7" w:rsidP="00C767FF">
                            <w:pPr>
                              <w:pStyle w:val="BodyText"/>
                              <w:numPr>
                                <w:ilvl w:val="0"/>
                                <w:numId w:val="6"/>
                              </w:numPr>
                              <w:rPr>
                                <w:szCs w:val="20"/>
                              </w:rPr>
                            </w:pPr>
                            <w:r w:rsidRPr="00AF1A70">
                              <w:rPr>
                                <w:szCs w:val="20"/>
                              </w:rPr>
                              <w:t>DCI formats 0-1 and 1-1 can be received in USS only. The size is determined by the active BWP.</w:t>
                            </w:r>
                          </w:p>
                          <w:p w:rsidR="00BD4CF7" w:rsidRDefault="00BD4CF7" w:rsidP="009B505D">
                            <w:pPr>
                              <w:pStyle w:val="BodyText"/>
                            </w:pPr>
                            <w:r>
                              <w:rPr>
                                <w:highlight w:val="darkYellow"/>
                              </w:rPr>
                              <w:t>W</w:t>
                            </w:r>
                            <w:r w:rsidRPr="00311C38">
                              <w:rPr>
                                <w:highlight w:val="darkYellow"/>
                              </w:rPr>
                              <w:t>orking assumption</w:t>
                            </w:r>
                            <w:r>
                              <w:t>:</w:t>
                            </w:r>
                          </w:p>
                          <w:p w:rsidR="00BD4CF7" w:rsidRDefault="00BD4CF7" w:rsidP="00C767FF">
                            <w:pPr>
                              <w:pStyle w:val="BodyText"/>
                              <w:numPr>
                                <w:ilvl w:val="0"/>
                                <w:numId w:val="5"/>
                              </w:numPr>
                            </w:pPr>
                            <w:r>
                              <w:t>When monitoring for DCI in a BWP, the size of DCI format 0-0/1-0 is given by</w:t>
                            </w:r>
                          </w:p>
                          <w:p w:rsidR="00BD4CF7" w:rsidRDefault="00BD4CF7" w:rsidP="00C767FF">
                            <w:pPr>
                              <w:pStyle w:val="BodyText"/>
                              <w:numPr>
                                <w:ilvl w:val="0"/>
                                <w:numId w:val="5"/>
                              </w:numPr>
                              <w:ind w:left="1080"/>
                            </w:pPr>
                            <w:r>
                              <w:t>For format 0-0/1-0 (regardless of RNTI) in CSS, the size is given by the initial DL BWP</w:t>
                            </w:r>
                          </w:p>
                          <w:p w:rsidR="00BD4CF7" w:rsidRDefault="00BD4CF7" w:rsidP="00C767FF">
                            <w:pPr>
                              <w:pStyle w:val="BodyText"/>
                              <w:numPr>
                                <w:ilvl w:val="0"/>
                                <w:numId w:val="5"/>
                              </w:numPr>
                              <w:ind w:left="1080"/>
                            </w:pPr>
                            <w:r>
                              <w:t xml:space="preserve">For format 0-0/1-0 in USS, the size is given by the active BWP as long as the DCI size budget is fulfilled </w:t>
                            </w:r>
                          </w:p>
                          <w:p w:rsidR="00BD4CF7" w:rsidRDefault="00BD4CF7" w:rsidP="00C767FF">
                            <w:pPr>
                              <w:pStyle w:val="BodyText"/>
                              <w:numPr>
                                <w:ilvl w:val="1"/>
                                <w:numId w:val="5"/>
                              </w:numPr>
                              <w:ind w:left="1800"/>
                            </w:pPr>
                            <w:r>
                              <w:t>FFS: Otherwise, for format 0-0/1-0, the size is given by the initial DL BWP</w:t>
                            </w:r>
                          </w:p>
                          <w:p w:rsidR="00BD4CF7" w:rsidRDefault="00BD4CF7" w:rsidP="00C767FF">
                            <w:pPr>
                              <w:pStyle w:val="BodyText"/>
                              <w:numPr>
                                <w:ilvl w:val="0"/>
                                <w:numId w:val="5"/>
                              </w:numPr>
                              <w:ind w:left="1080"/>
                            </w:pPr>
                            <w:r>
                              <w:t>FFS: how to meet the C-RNTI size and DCI size budget per slot</w:t>
                            </w:r>
                          </w:p>
                          <w:p w:rsidR="00BD4CF7" w:rsidRDefault="00BD4CF7" w:rsidP="00C767FF">
                            <w:pPr>
                              <w:pStyle w:val="BodyText"/>
                              <w:numPr>
                                <w:ilvl w:val="1"/>
                                <w:numId w:val="5"/>
                              </w:numPr>
                              <w:ind w:left="1800"/>
                            </w:pPr>
                            <w:r>
                              <w:t>align 0-1 and 1-1</w:t>
                            </w:r>
                          </w:p>
                          <w:p w:rsidR="00BD4CF7" w:rsidRDefault="00BD4CF7" w:rsidP="00C767FF">
                            <w:pPr>
                              <w:pStyle w:val="BodyText"/>
                              <w:numPr>
                                <w:ilvl w:val="1"/>
                                <w:numId w:val="5"/>
                              </w:numPr>
                              <w:ind w:left="1800"/>
                            </w:pPr>
                            <w:r>
                              <w:t>configure active BWP such that the DCI size is the same as of the initial BWP</w:t>
                            </w:r>
                          </w:p>
                          <w:p w:rsidR="00BD4CF7" w:rsidRDefault="00BD4CF7" w:rsidP="00C767FF">
                            <w:pPr>
                              <w:pStyle w:val="BodyText"/>
                              <w:numPr>
                                <w:ilvl w:val="1"/>
                                <w:numId w:val="5"/>
                              </w:numPr>
                              <w:ind w:left="1800"/>
                            </w:pPr>
                            <w:r>
                              <w:t>do not configure 0-1 and 1-1</w:t>
                            </w:r>
                          </w:p>
                          <w:p w:rsidR="00BD4CF7" w:rsidRDefault="00BD4CF7" w:rsidP="00C767FF">
                            <w:pPr>
                              <w:pStyle w:val="BodyText"/>
                              <w:numPr>
                                <w:ilvl w:val="1"/>
                                <w:numId w:val="5"/>
                              </w:numPr>
                              <w:ind w:left="1800"/>
                            </w:pPr>
                            <w:r>
                              <w:t>do not configure 0-0/1-0 in USS</w:t>
                            </w:r>
                          </w:p>
                          <w:p w:rsidR="00BD4CF7" w:rsidRDefault="00BD4CF7" w:rsidP="00C767FF">
                            <w:pPr>
                              <w:pStyle w:val="BodyText"/>
                              <w:numPr>
                                <w:ilvl w:val="1"/>
                                <w:numId w:val="5"/>
                              </w:numPr>
                              <w:ind w:left="1800"/>
                            </w:pPr>
                            <w:r>
                              <w:t>other are not precluded</w:t>
                            </w:r>
                          </w:p>
                          <w:p w:rsidR="00BD4CF7" w:rsidRDefault="00BD4CF7" w:rsidP="00C767FF">
                            <w:pPr>
                              <w:pStyle w:val="BodyText"/>
                              <w:numPr>
                                <w:ilvl w:val="0"/>
                                <w:numId w:val="5"/>
                              </w:numPr>
                              <w:ind w:left="1080"/>
                            </w:pPr>
                            <w:r>
                              <w:t>FFS: for format 0-0/1-0, how to interpret the frequency-domain field in a DCI with a size defined from a BWP with a different size than the BWP it is applied to</w:t>
                            </w:r>
                          </w:p>
                        </w:txbxContent>
                      </wps:txbx>
                      <wps:bodyPr rot="0" vert="horz" wrap="square" lIns="91440" tIns="45720" rIns="91440" bIns="45720" anchor="t" anchorCtr="0">
                        <a:spAutoFit/>
                      </wps:bodyPr>
                    </wps:wsp>
                  </a:graphicData>
                </a:graphic>
              </wp:inline>
            </w:drawing>
          </mc:Choice>
          <mc:Fallback>
            <w:pict>
              <v:shape w14:anchorId="212FDF10" 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dZKAIAAE4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">
                <v:textbox style="mso-fit-shape-to-text:t">
                  <w:txbxContent>
                    <w:p w:rsidR="00BD4CF7" w:rsidRPr="00AF1A70" w:rsidRDefault="00BD4CF7" w:rsidP="009B505D">
                      <w:pPr>
                        <w:pStyle w:val="BodyText"/>
                        <w:rPr>
                          <w:szCs w:val="20"/>
                        </w:rPr>
                      </w:pPr>
                      <w:r w:rsidRPr="00AF1A70">
                        <w:rPr>
                          <w:szCs w:val="20"/>
                          <w:highlight w:val="green"/>
                        </w:rPr>
                        <w:t>Agreements</w:t>
                      </w:r>
                      <w:r w:rsidRPr="00AF1A70">
                        <w:rPr>
                          <w:szCs w:val="20"/>
                        </w:rPr>
                        <w:t>:</w:t>
                      </w:r>
                    </w:p>
                    <w:p w:rsidR="00BD4CF7" w:rsidRPr="00AF1A70" w:rsidRDefault="00BD4CF7" w:rsidP="00C767FF">
                      <w:pPr>
                        <w:pStyle w:val="BodyText"/>
                        <w:numPr>
                          <w:ilvl w:val="0"/>
                          <w:numId w:val="6"/>
                        </w:numPr>
                        <w:rPr>
                          <w:szCs w:val="20"/>
                        </w:rPr>
                      </w:pPr>
                      <w:r w:rsidRPr="00AF1A70">
                        <w:rPr>
                          <w:szCs w:val="20"/>
                        </w:rPr>
                        <w:t xml:space="preserve">DCI formats 0-0/1-0, 0-1, and 1-1 can have different sizes. </w:t>
                      </w:r>
                    </w:p>
                    <w:p w:rsidR="00BD4CF7" w:rsidRPr="00AF1A70" w:rsidRDefault="00BD4CF7" w:rsidP="00C767FF">
                      <w:pPr>
                        <w:pStyle w:val="BodyText"/>
                        <w:numPr>
                          <w:ilvl w:val="0"/>
                          <w:numId w:val="6"/>
                        </w:numPr>
                        <w:rPr>
                          <w:szCs w:val="20"/>
                        </w:rPr>
                      </w:pPr>
                      <w:r w:rsidRPr="00AF1A70">
                        <w:rPr>
                          <w:szCs w:val="20"/>
                        </w:rPr>
                        <w:t>DCI formats 0-1 and 1-1 can be received in USS only. The size is determined by the active BWP.</w:t>
                      </w:r>
                    </w:p>
                    <w:p w:rsidR="00BD4CF7" w:rsidRDefault="00BD4CF7" w:rsidP="009B505D">
                      <w:pPr>
                        <w:pStyle w:val="BodyText"/>
                      </w:pPr>
                      <w:r>
                        <w:rPr>
                          <w:highlight w:val="darkYellow"/>
                        </w:rPr>
                        <w:t>W</w:t>
                      </w:r>
                      <w:r w:rsidRPr="00311C38">
                        <w:rPr>
                          <w:highlight w:val="darkYellow"/>
                        </w:rPr>
                        <w:t>orking assumption</w:t>
                      </w:r>
                      <w:r>
                        <w:t>:</w:t>
                      </w:r>
                    </w:p>
                    <w:p w:rsidR="00BD4CF7" w:rsidRDefault="00BD4CF7" w:rsidP="00C767FF">
                      <w:pPr>
                        <w:pStyle w:val="BodyText"/>
                        <w:numPr>
                          <w:ilvl w:val="0"/>
                          <w:numId w:val="5"/>
                        </w:numPr>
                      </w:pPr>
                      <w:r>
                        <w:t>When monitoring for DCI in a BWP, the size of DCI format 0-0/1-0 is given by</w:t>
                      </w:r>
                    </w:p>
                    <w:p w:rsidR="00BD4CF7" w:rsidRDefault="00BD4CF7" w:rsidP="00C767FF">
                      <w:pPr>
                        <w:pStyle w:val="BodyText"/>
                        <w:numPr>
                          <w:ilvl w:val="0"/>
                          <w:numId w:val="5"/>
                        </w:numPr>
                        <w:ind w:left="1080"/>
                      </w:pPr>
                      <w:r>
                        <w:t>For format 0-0/1-0 (regardless of RNTI) in CSS, the size is given by the initial DL BWP</w:t>
                      </w:r>
                    </w:p>
                    <w:p w:rsidR="00BD4CF7" w:rsidRDefault="00BD4CF7" w:rsidP="00C767FF">
                      <w:pPr>
                        <w:pStyle w:val="BodyText"/>
                        <w:numPr>
                          <w:ilvl w:val="0"/>
                          <w:numId w:val="5"/>
                        </w:numPr>
                        <w:ind w:left="1080"/>
                      </w:pPr>
                      <w:r>
                        <w:t xml:space="preserve">For format 0-0/1-0 in USS, the size is given by the active BWP as long as the DCI size budget is fulfilled </w:t>
                      </w:r>
                    </w:p>
                    <w:p w:rsidR="00BD4CF7" w:rsidRDefault="00BD4CF7" w:rsidP="00C767FF">
                      <w:pPr>
                        <w:pStyle w:val="BodyText"/>
                        <w:numPr>
                          <w:ilvl w:val="1"/>
                          <w:numId w:val="5"/>
                        </w:numPr>
                        <w:ind w:left="1800"/>
                      </w:pPr>
                      <w:r>
                        <w:t>FFS: Otherwise, for format 0-0/1-0, the size is given by the initial DL BWP</w:t>
                      </w:r>
                    </w:p>
                    <w:p w:rsidR="00BD4CF7" w:rsidRDefault="00BD4CF7" w:rsidP="00C767FF">
                      <w:pPr>
                        <w:pStyle w:val="BodyText"/>
                        <w:numPr>
                          <w:ilvl w:val="0"/>
                          <w:numId w:val="5"/>
                        </w:numPr>
                        <w:ind w:left="1080"/>
                      </w:pPr>
                      <w:r>
                        <w:t>FFS: how to meet the C-RNTI size and DCI size budget per slot</w:t>
                      </w:r>
                    </w:p>
                    <w:p w:rsidR="00BD4CF7" w:rsidRDefault="00BD4CF7" w:rsidP="00C767FF">
                      <w:pPr>
                        <w:pStyle w:val="BodyText"/>
                        <w:numPr>
                          <w:ilvl w:val="1"/>
                          <w:numId w:val="5"/>
                        </w:numPr>
                        <w:ind w:left="1800"/>
                      </w:pPr>
                      <w:r>
                        <w:t>align 0-1 and 1-1</w:t>
                      </w:r>
                    </w:p>
                    <w:p w:rsidR="00BD4CF7" w:rsidRDefault="00BD4CF7" w:rsidP="00C767FF">
                      <w:pPr>
                        <w:pStyle w:val="BodyText"/>
                        <w:numPr>
                          <w:ilvl w:val="1"/>
                          <w:numId w:val="5"/>
                        </w:numPr>
                        <w:ind w:left="1800"/>
                      </w:pPr>
                      <w:r>
                        <w:t>configure active BWP such that the DCI size is the same as of the initial BWP</w:t>
                      </w:r>
                    </w:p>
                    <w:p w:rsidR="00BD4CF7" w:rsidRDefault="00BD4CF7" w:rsidP="00C767FF">
                      <w:pPr>
                        <w:pStyle w:val="BodyText"/>
                        <w:numPr>
                          <w:ilvl w:val="1"/>
                          <w:numId w:val="5"/>
                        </w:numPr>
                        <w:ind w:left="1800"/>
                      </w:pPr>
                      <w:r>
                        <w:t>do not configure 0-1 and 1-1</w:t>
                      </w:r>
                    </w:p>
                    <w:p w:rsidR="00BD4CF7" w:rsidRDefault="00BD4CF7" w:rsidP="00C767FF">
                      <w:pPr>
                        <w:pStyle w:val="BodyText"/>
                        <w:numPr>
                          <w:ilvl w:val="1"/>
                          <w:numId w:val="5"/>
                        </w:numPr>
                        <w:ind w:left="1800"/>
                      </w:pPr>
                      <w:r>
                        <w:t>do not configure 0-0/1-0 in USS</w:t>
                      </w:r>
                    </w:p>
                    <w:p w:rsidR="00BD4CF7" w:rsidRDefault="00BD4CF7" w:rsidP="00C767FF">
                      <w:pPr>
                        <w:pStyle w:val="BodyText"/>
                        <w:numPr>
                          <w:ilvl w:val="1"/>
                          <w:numId w:val="5"/>
                        </w:numPr>
                        <w:ind w:left="1800"/>
                      </w:pPr>
                      <w:r>
                        <w:t>other are not precluded</w:t>
                      </w:r>
                    </w:p>
                    <w:p w:rsidR="00BD4CF7" w:rsidRDefault="00BD4CF7" w:rsidP="00C767FF">
                      <w:pPr>
                        <w:pStyle w:val="BodyText"/>
                        <w:numPr>
                          <w:ilvl w:val="0"/>
                          <w:numId w:val="5"/>
                        </w:numPr>
                        <w:ind w:left="1080"/>
                      </w:pPr>
                      <w:r>
                        <w:t>FFS: for format 0-0/1-0, how to interpret the frequency-domain field in a DCI with a size defined from a BWP with a different size than the BWP it is applied to</w:t>
                      </w:r>
                    </w:p>
                  </w:txbxContent>
                </v:textbox>
                <w10:anchorlock/>
              </v:shape>
            </w:pict>
          </mc:Fallback>
        </mc:AlternateContent>
      </w:r>
    </w:p>
    <w:p w:rsidR="009B505D" w:rsidRDefault="009B505D" w:rsidP="009B505D">
      <w:pPr>
        <w:pStyle w:val="BodyText"/>
      </w:pPr>
    </w:p>
    <w:p w:rsidR="009B505D" w:rsidRDefault="009B505D" w:rsidP="009B505D">
      <w:pPr>
        <w:pStyle w:val="BodyText"/>
      </w:pPr>
      <w:r>
        <w:t xml:space="preserve">These agreements and working assumptions are illustrated in </w:t>
      </w:r>
      <w:r>
        <w:fldChar w:fldCharType="begin"/>
      </w:r>
      <w:r>
        <w:instrText xml:space="preserve"> REF _Ref509314781 \h </w:instrText>
      </w:r>
      <w:r>
        <w:fldChar w:fldCharType="separate"/>
      </w:r>
      <w:r>
        <w:t xml:space="preserve">Table </w:t>
      </w:r>
      <w:r>
        <w:rPr>
          <w:noProof/>
        </w:rPr>
        <w:t>2</w:t>
      </w:r>
      <w:r>
        <w:t>.</w:t>
      </w:r>
      <w:r>
        <w:rPr>
          <w:noProof/>
        </w:rPr>
        <w:t>1</w:t>
      </w:r>
      <w:r>
        <w:fldChar w:fldCharType="end"/>
      </w:r>
      <w:r>
        <w:t xml:space="preserve"> where the DCI size for different DCI formats and search spaces are listed as a function of the currently active bandwidth part in the UE. The “initial” bandwidth part is obtained as part of the initial access. The “default” and “wide” bandwidth parts are the bandwidth parts the UE can switch between in case of bandwidth adaptation; in absence of bandwidth adaptation being configured the UE only uses the “default” bandwidth part.</w:t>
      </w:r>
    </w:p>
    <w:p w:rsidR="009B505D" w:rsidRDefault="009B505D" w:rsidP="009B505D">
      <w:pPr>
        <w:pStyle w:val="BodyText"/>
      </w:pPr>
    </w:p>
    <w:p w:rsidR="009B505D" w:rsidRDefault="009B505D" w:rsidP="009B505D">
      <w:pPr>
        <w:pStyle w:val="Caption"/>
        <w:keepNext/>
      </w:pPr>
      <w:bookmarkStart w:id="5" w:name="_Ref509314781"/>
      <w:r>
        <w:lastRenderedPageBreak/>
        <w:t xml:space="preserve">Table </w:t>
      </w:r>
      <w:fldSimple w:instr=" STYLEREF 1 \s ">
        <w:r>
          <w:rPr>
            <w:noProof/>
          </w:rPr>
          <w:t>2</w:t>
        </w:r>
      </w:fldSimple>
      <w:r>
        <w:t>.</w:t>
      </w:r>
      <w:fldSimple w:instr=" SEQ Table \* ARABIC \s 1 ">
        <w:r>
          <w:rPr>
            <w:noProof/>
          </w:rPr>
          <w:t>1</w:t>
        </w:r>
      </w:fldSimple>
      <w:bookmarkEnd w:id="5"/>
      <w:r>
        <w:t>: DCI sizes.</w:t>
      </w:r>
    </w:p>
    <w:tbl>
      <w:tblPr>
        <w:tblStyle w:val="TableGrid"/>
        <w:tblW w:w="0" w:type="auto"/>
        <w:tblInd w:w="452" w:type="dxa"/>
        <w:tblLook w:val="04A0" w:firstRow="1" w:lastRow="0" w:firstColumn="1" w:lastColumn="0" w:noHBand="0" w:noVBand="1"/>
      </w:tblPr>
      <w:tblGrid>
        <w:gridCol w:w="1724"/>
        <w:gridCol w:w="1708"/>
        <w:gridCol w:w="1720"/>
        <w:gridCol w:w="1729"/>
        <w:gridCol w:w="1729"/>
      </w:tblGrid>
      <w:tr w:rsidR="009B505D" w:rsidTr="00A6097D">
        <w:trPr>
          <w:trHeight w:val="132"/>
        </w:trPr>
        <w:tc>
          <w:tcPr>
            <w:tcW w:w="1724" w:type="dxa"/>
            <w:vMerge w:val="restart"/>
            <w:shd w:val="clear" w:color="auto" w:fill="D9D9D9" w:themeFill="background1" w:themeFillShade="D9"/>
          </w:tcPr>
          <w:p w:rsidR="009B505D" w:rsidRDefault="009B505D" w:rsidP="00A6097D">
            <w:pPr>
              <w:pStyle w:val="BodyText"/>
            </w:pPr>
            <w:r>
              <w:t>DCI format</w:t>
            </w:r>
          </w:p>
        </w:tc>
        <w:tc>
          <w:tcPr>
            <w:tcW w:w="1708" w:type="dxa"/>
            <w:vMerge w:val="restart"/>
            <w:shd w:val="clear" w:color="auto" w:fill="D9D9D9" w:themeFill="background1" w:themeFillShade="D9"/>
          </w:tcPr>
          <w:p w:rsidR="009B505D" w:rsidRDefault="009B505D" w:rsidP="00A6097D">
            <w:pPr>
              <w:pStyle w:val="BodyText"/>
            </w:pPr>
            <w:r>
              <w:t>USS or CSS</w:t>
            </w:r>
          </w:p>
        </w:tc>
        <w:tc>
          <w:tcPr>
            <w:tcW w:w="5178" w:type="dxa"/>
            <w:gridSpan w:val="3"/>
            <w:tcBorders>
              <w:bottom w:val="nil"/>
            </w:tcBorders>
            <w:shd w:val="clear" w:color="auto" w:fill="D9D9D9" w:themeFill="background1" w:themeFillShade="D9"/>
          </w:tcPr>
          <w:p w:rsidR="009B505D" w:rsidRDefault="009B505D" w:rsidP="00A6097D">
            <w:pPr>
              <w:pStyle w:val="BodyText"/>
              <w:jc w:val="center"/>
            </w:pPr>
            <w:r>
              <w:t>Active BWP</w:t>
            </w:r>
          </w:p>
        </w:tc>
      </w:tr>
      <w:tr w:rsidR="009B505D" w:rsidTr="00A6097D">
        <w:tc>
          <w:tcPr>
            <w:tcW w:w="1724" w:type="dxa"/>
            <w:vMerge/>
            <w:shd w:val="clear" w:color="auto" w:fill="D9D9D9" w:themeFill="background1" w:themeFillShade="D9"/>
          </w:tcPr>
          <w:p w:rsidR="009B505D" w:rsidRDefault="009B505D" w:rsidP="00A6097D">
            <w:pPr>
              <w:pStyle w:val="BodyText"/>
            </w:pPr>
          </w:p>
        </w:tc>
        <w:tc>
          <w:tcPr>
            <w:tcW w:w="1708" w:type="dxa"/>
            <w:vMerge/>
            <w:shd w:val="clear" w:color="auto" w:fill="D9D9D9" w:themeFill="background1" w:themeFillShade="D9"/>
          </w:tcPr>
          <w:p w:rsidR="009B505D" w:rsidRDefault="009B505D" w:rsidP="00A6097D">
            <w:pPr>
              <w:pStyle w:val="BodyText"/>
            </w:pPr>
          </w:p>
        </w:tc>
        <w:tc>
          <w:tcPr>
            <w:tcW w:w="1720" w:type="dxa"/>
            <w:tcBorders>
              <w:top w:val="nil"/>
            </w:tcBorders>
            <w:shd w:val="clear" w:color="auto" w:fill="D9D9D9" w:themeFill="background1" w:themeFillShade="D9"/>
          </w:tcPr>
          <w:p w:rsidR="009B505D" w:rsidRDefault="009B505D" w:rsidP="00A6097D">
            <w:pPr>
              <w:pStyle w:val="BodyText"/>
              <w:jc w:val="center"/>
            </w:pPr>
            <w:r>
              <w:t>Initial</w:t>
            </w:r>
          </w:p>
        </w:tc>
        <w:tc>
          <w:tcPr>
            <w:tcW w:w="1729" w:type="dxa"/>
            <w:tcBorders>
              <w:top w:val="nil"/>
            </w:tcBorders>
            <w:shd w:val="clear" w:color="auto" w:fill="D9D9D9" w:themeFill="background1" w:themeFillShade="D9"/>
          </w:tcPr>
          <w:p w:rsidR="009B505D" w:rsidRDefault="009B505D" w:rsidP="00A6097D">
            <w:pPr>
              <w:pStyle w:val="BodyText"/>
              <w:jc w:val="center"/>
            </w:pPr>
            <w:r>
              <w:t>Default</w:t>
            </w:r>
          </w:p>
        </w:tc>
        <w:tc>
          <w:tcPr>
            <w:tcW w:w="1729" w:type="dxa"/>
            <w:tcBorders>
              <w:top w:val="nil"/>
            </w:tcBorders>
            <w:shd w:val="clear" w:color="auto" w:fill="D9D9D9" w:themeFill="background1" w:themeFillShade="D9"/>
          </w:tcPr>
          <w:p w:rsidR="009B505D" w:rsidRDefault="009B505D" w:rsidP="00A6097D">
            <w:pPr>
              <w:pStyle w:val="BodyText"/>
              <w:jc w:val="center"/>
            </w:pPr>
            <w:r>
              <w:t>“wide”</w:t>
            </w:r>
          </w:p>
        </w:tc>
      </w:tr>
      <w:tr w:rsidR="009B505D" w:rsidTr="00A6097D">
        <w:tc>
          <w:tcPr>
            <w:tcW w:w="1724" w:type="dxa"/>
            <w:vAlign w:val="center"/>
          </w:tcPr>
          <w:p w:rsidR="009B505D" w:rsidRDefault="009B505D" w:rsidP="00A6097D">
            <w:pPr>
              <w:pStyle w:val="BodyText"/>
              <w:jc w:val="left"/>
            </w:pPr>
            <w:r>
              <w:t>0-0/1-0</w:t>
            </w:r>
          </w:p>
        </w:tc>
        <w:tc>
          <w:tcPr>
            <w:tcW w:w="1708" w:type="dxa"/>
            <w:vAlign w:val="center"/>
          </w:tcPr>
          <w:p w:rsidR="009B505D" w:rsidRDefault="009B505D" w:rsidP="00A6097D">
            <w:pPr>
              <w:pStyle w:val="BodyText"/>
              <w:jc w:val="left"/>
            </w:pPr>
            <w:r>
              <w:t>CSS</w:t>
            </w:r>
          </w:p>
        </w:tc>
        <w:tc>
          <w:tcPr>
            <w:tcW w:w="5178" w:type="dxa"/>
            <w:gridSpan w:val="3"/>
            <w:tcBorders>
              <w:bottom w:val="nil"/>
            </w:tcBorders>
            <w:shd w:val="clear" w:color="auto" w:fill="FBD4B4" w:themeFill="accent6" w:themeFillTint="66"/>
            <w:vAlign w:val="center"/>
          </w:tcPr>
          <w:p w:rsidR="009B505D" w:rsidRDefault="009B505D" w:rsidP="00A6097D">
            <w:pPr>
              <w:pStyle w:val="BodyText"/>
              <w:jc w:val="left"/>
            </w:pPr>
            <w:r>
              <w:t>Size A0</w:t>
            </w:r>
          </w:p>
        </w:tc>
      </w:tr>
      <w:tr w:rsidR="009B505D" w:rsidTr="00A6097D">
        <w:tc>
          <w:tcPr>
            <w:tcW w:w="1724" w:type="dxa"/>
            <w:vAlign w:val="center"/>
          </w:tcPr>
          <w:p w:rsidR="009B505D" w:rsidRDefault="009B505D" w:rsidP="00A6097D">
            <w:pPr>
              <w:pStyle w:val="BodyText"/>
              <w:jc w:val="left"/>
            </w:pPr>
            <w:r>
              <w:t>0-0/1-0</w:t>
            </w:r>
          </w:p>
        </w:tc>
        <w:tc>
          <w:tcPr>
            <w:tcW w:w="1708" w:type="dxa"/>
            <w:vAlign w:val="center"/>
          </w:tcPr>
          <w:p w:rsidR="009B505D" w:rsidRDefault="009B505D" w:rsidP="00A6097D">
            <w:pPr>
              <w:pStyle w:val="BodyText"/>
              <w:jc w:val="left"/>
            </w:pPr>
            <w:r>
              <w:t>USS</w:t>
            </w:r>
          </w:p>
        </w:tc>
        <w:tc>
          <w:tcPr>
            <w:tcW w:w="1720" w:type="dxa"/>
            <w:tcBorders>
              <w:top w:val="nil"/>
              <w:right w:val="single" w:sz="4" w:space="0" w:color="auto"/>
            </w:tcBorders>
            <w:shd w:val="clear" w:color="auto" w:fill="FBD4B4" w:themeFill="accent6" w:themeFillTint="66"/>
            <w:vAlign w:val="center"/>
          </w:tcPr>
          <w:p w:rsidR="009B505D" w:rsidRDefault="009B505D" w:rsidP="00A6097D">
            <w:pPr>
              <w:pStyle w:val="BodyText"/>
              <w:jc w:val="left"/>
            </w:pPr>
          </w:p>
        </w:tc>
        <w:tc>
          <w:tcPr>
            <w:tcW w:w="1729" w:type="dxa"/>
            <w:tcBorders>
              <w:left w:val="single" w:sz="4" w:space="0" w:color="auto"/>
            </w:tcBorders>
            <w:vAlign w:val="center"/>
          </w:tcPr>
          <w:p w:rsidR="009B505D" w:rsidRDefault="009B505D" w:rsidP="00A6097D">
            <w:pPr>
              <w:pStyle w:val="BodyText"/>
              <w:jc w:val="left"/>
            </w:pPr>
            <w:r>
              <w:t>Size A1</w:t>
            </w:r>
          </w:p>
        </w:tc>
        <w:tc>
          <w:tcPr>
            <w:tcW w:w="1729" w:type="dxa"/>
            <w:vAlign w:val="center"/>
          </w:tcPr>
          <w:p w:rsidR="009B505D" w:rsidRDefault="009B505D" w:rsidP="00A6097D">
            <w:pPr>
              <w:pStyle w:val="BodyText"/>
              <w:jc w:val="left"/>
            </w:pPr>
            <w:r>
              <w:t>Size A2</w:t>
            </w:r>
          </w:p>
        </w:tc>
      </w:tr>
      <w:tr w:rsidR="009B505D" w:rsidTr="00A6097D">
        <w:tc>
          <w:tcPr>
            <w:tcW w:w="1724" w:type="dxa"/>
            <w:vAlign w:val="center"/>
          </w:tcPr>
          <w:p w:rsidR="009B505D" w:rsidRDefault="009B505D" w:rsidP="00A6097D">
            <w:pPr>
              <w:pStyle w:val="BodyText"/>
              <w:jc w:val="left"/>
            </w:pPr>
            <w:r>
              <w:t>0-1</w:t>
            </w:r>
          </w:p>
        </w:tc>
        <w:tc>
          <w:tcPr>
            <w:tcW w:w="1708" w:type="dxa"/>
            <w:vAlign w:val="center"/>
          </w:tcPr>
          <w:p w:rsidR="009B505D" w:rsidRDefault="009B505D" w:rsidP="00A6097D">
            <w:pPr>
              <w:pStyle w:val="BodyText"/>
              <w:jc w:val="left"/>
            </w:pPr>
            <w:r>
              <w:t>USS</w:t>
            </w:r>
          </w:p>
        </w:tc>
        <w:tc>
          <w:tcPr>
            <w:tcW w:w="1720" w:type="dxa"/>
            <w:vAlign w:val="center"/>
          </w:tcPr>
          <w:p w:rsidR="009B505D" w:rsidRDefault="009B505D" w:rsidP="00A6097D">
            <w:pPr>
              <w:pStyle w:val="BodyText"/>
              <w:jc w:val="left"/>
            </w:pPr>
            <w:r>
              <w:t>Size B0</w:t>
            </w:r>
          </w:p>
        </w:tc>
        <w:tc>
          <w:tcPr>
            <w:tcW w:w="1729" w:type="dxa"/>
            <w:vAlign w:val="center"/>
          </w:tcPr>
          <w:p w:rsidR="009B505D" w:rsidRDefault="009B505D" w:rsidP="00A6097D">
            <w:pPr>
              <w:pStyle w:val="BodyText"/>
              <w:jc w:val="left"/>
            </w:pPr>
            <w:r>
              <w:t>Size B1</w:t>
            </w:r>
          </w:p>
        </w:tc>
        <w:tc>
          <w:tcPr>
            <w:tcW w:w="1729" w:type="dxa"/>
            <w:vAlign w:val="center"/>
          </w:tcPr>
          <w:p w:rsidR="009B505D" w:rsidRDefault="009B505D" w:rsidP="00A6097D">
            <w:pPr>
              <w:pStyle w:val="BodyText"/>
              <w:jc w:val="left"/>
            </w:pPr>
            <w:r>
              <w:t>Size B2</w:t>
            </w:r>
          </w:p>
        </w:tc>
      </w:tr>
      <w:tr w:rsidR="009B505D" w:rsidTr="00A6097D">
        <w:tc>
          <w:tcPr>
            <w:tcW w:w="1724" w:type="dxa"/>
            <w:vAlign w:val="center"/>
          </w:tcPr>
          <w:p w:rsidR="009B505D" w:rsidRDefault="009B505D" w:rsidP="00A6097D">
            <w:pPr>
              <w:pStyle w:val="BodyText"/>
              <w:jc w:val="left"/>
            </w:pPr>
            <w:r>
              <w:t>1-1</w:t>
            </w:r>
          </w:p>
        </w:tc>
        <w:tc>
          <w:tcPr>
            <w:tcW w:w="1708" w:type="dxa"/>
            <w:vAlign w:val="center"/>
          </w:tcPr>
          <w:p w:rsidR="009B505D" w:rsidRDefault="009B505D" w:rsidP="00A6097D">
            <w:pPr>
              <w:pStyle w:val="BodyText"/>
              <w:jc w:val="left"/>
            </w:pPr>
            <w:r>
              <w:t>USS</w:t>
            </w:r>
          </w:p>
        </w:tc>
        <w:tc>
          <w:tcPr>
            <w:tcW w:w="1720" w:type="dxa"/>
            <w:vAlign w:val="center"/>
          </w:tcPr>
          <w:p w:rsidR="009B505D" w:rsidRDefault="009B505D" w:rsidP="00A6097D">
            <w:pPr>
              <w:pStyle w:val="BodyText"/>
              <w:jc w:val="left"/>
            </w:pPr>
            <w:r>
              <w:t>Size C0</w:t>
            </w:r>
          </w:p>
        </w:tc>
        <w:tc>
          <w:tcPr>
            <w:tcW w:w="1729" w:type="dxa"/>
            <w:vAlign w:val="center"/>
          </w:tcPr>
          <w:p w:rsidR="009B505D" w:rsidRDefault="009B505D" w:rsidP="00A6097D">
            <w:pPr>
              <w:pStyle w:val="BodyText"/>
              <w:jc w:val="left"/>
            </w:pPr>
            <w:r>
              <w:t>Size C1</w:t>
            </w:r>
          </w:p>
        </w:tc>
        <w:tc>
          <w:tcPr>
            <w:tcW w:w="1729" w:type="dxa"/>
            <w:vAlign w:val="center"/>
          </w:tcPr>
          <w:p w:rsidR="009B505D" w:rsidRDefault="009B505D" w:rsidP="00A6097D">
            <w:pPr>
              <w:pStyle w:val="BodyText"/>
              <w:jc w:val="left"/>
            </w:pPr>
            <w:r>
              <w:t>Size C2</w:t>
            </w:r>
          </w:p>
        </w:tc>
      </w:tr>
      <w:tr w:rsidR="009B505D" w:rsidTr="00A6097D">
        <w:tc>
          <w:tcPr>
            <w:tcW w:w="1724" w:type="dxa"/>
            <w:vAlign w:val="center"/>
          </w:tcPr>
          <w:p w:rsidR="009B505D" w:rsidRDefault="009B505D" w:rsidP="00A6097D">
            <w:pPr>
              <w:pStyle w:val="BodyText"/>
              <w:jc w:val="left"/>
            </w:pPr>
            <w:r>
              <w:t>2-0</w:t>
            </w:r>
          </w:p>
        </w:tc>
        <w:tc>
          <w:tcPr>
            <w:tcW w:w="1708" w:type="dxa"/>
            <w:vAlign w:val="center"/>
          </w:tcPr>
          <w:p w:rsidR="009B505D" w:rsidRDefault="009B505D" w:rsidP="00A6097D">
            <w:pPr>
              <w:pStyle w:val="BodyText"/>
              <w:jc w:val="left"/>
            </w:pPr>
            <w:r>
              <w:t>CSS</w:t>
            </w:r>
          </w:p>
        </w:tc>
        <w:tc>
          <w:tcPr>
            <w:tcW w:w="5178" w:type="dxa"/>
            <w:gridSpan w:val="3"/>
            <w:vAlign w:val="center"/>
          </w:tcPr>
          <w:p w:rsidR="009B505D" w:rsidRDefault="009B505D" w:rsidP="00A6097D">
            <w:pPr>
              <w:pStyle w:val="BodyText"/>
              <w:jc w:val="center"/>
            </w:pPr>
            <w:r>
              <w:t>Size D (up to 128 bits)</w:t>
            </w:r>
          </w:p>
        </w:tc>
      </w:tr>
      <w:tr w:rsidR="009B505D" w:rsidTr="00A6097D">
        <w:tc>
          <w:tcPr>
            <w:tcW w:w="1724" w:type="dxa"/>
            <w:vAlign w:val="center"/>
          </w:tcPr>
          <w:p w:rsidR="009B505D" w:rsidRDefault="009B505D" w:rsidP="00A6097D">
            <w:pPr>
              <w:pStyle w:val="BodyText"/>
              <w:jc w:val="left"/>
            </w:pPr>
            <w:r>
              <w:t>2-1</w:t>
            </w:r>
          </w:p>
        </w:tc>
        <w:tc>
          <w:tcPr>
            <w:tcW w:w="1708" w:type="dxa"/>
            <w:vAlign w:val="center"/>
          </w:tcPr>
          <w:p w:rsidR="009B505D" w:rsidRDefault="009B505D" w:rsidP="00A6097D">
            <w:pPr>
              <w:pStyle w:val="BodyText"/>
              <w:jc w:val="left"/>
            </w:pPr>
            <w:r>
              <w:t>CSS</w:t>
            </w:r>
          </w:p>
        </w:tc>
        <w:tc>
          <w:tcPr>
            <w:tcW w:w="5178" w:type="dxa"/>
            <w:gridSpan w:val="3"/>
            <w:vAlign w:val="center"/>
          </w:tcPr>
          <w:p w:rsidR="009B505D" w:rsidRDefault="009B505D" w:rsidP="00A6097D">
            <w:pPr>
              <w:pStyle w:val="BodyText"/>
              <w:jc w:val="center"/>
            </w:pPr>
            <w:r>
              <w:t>Size E (up to 126 bits)</w:t>
            </w:r>
          </w:p>
        </w:tc>
      </w:tr>
      <w:tr w:rsidR="009B505D" w:rsidTr="00A6097D">
        <w:tc>
          <w:tcPr>
            <w:tcW w:w="1724" w:type="dxa"/>
            <w:vAlign w:val="center"/>
          </w:tcPr>
          <w:p w:rsidR="009B505D" w:rsidRDefault="009B505D" w:rsidP="00A6097D">
            <w:pPr>
              <w:pStyle w:val="BodyText"/>
              <w:jc w:val="left"/>
            </w:pPr>
            <w:r>
              <w:t>2-2</w:t>
            </w:r>
          </w:p>
        </w:tc>
        <w:tc>
          <w:tcPr>
            <w:tcW w:w="1708" w:type="dxa"/>
            <w:vAlign w:val="center"/>
          </w:tcPr>
          <w:p w:rsidR="009B505D" w:rsidRDefault="009B505D" w:rsidP="00A6097D">
            <w:pPr>
              <w:pStyle w:val="BodyText"/>
              <w:jc w:val="left"/>
            </w:pPr>
            <w:r>
              <w:t>CSS</w:t>
            </w:r>
          </w:p>
        </w:tc>
        <w:tc>
          <w:tcPr>
            <w:tcW w:w="5178" w:type="dxa"/>
            <w:gridSpan w:val="3"/>
            <w:vMerge w:val="restart"/>
            <w:vAlign w:val="center"/>
          </w:tcPr>
          <w:p w:rsidR="009B505D" w:rsidRDefault="009B505D" w:rsidP="00A6097D">
            <w:pPr>
              <w:pStyle w:val="BodyText"/>
              <w:jc w:val="center"/>
            </w:pPr>
            <w:r>
              <w:t>Size F</w:t>
            </w:r>
          </w:p>
        </w:tc>
      </w:tr>
      <w:tr w:rsidR="009B505D" w:rsidTr="00A6097D">
        <w:tc>
          <w:tcPr>
            <w:tcW w:w="1724" w:type="dxa"/>
          </w:tcPr>
          <w:p w:rsidR="009B505D" w:rsidRDefault="009B505D" w:rsidP="00A6097D">
            <w:pPr>
              <w:pStyle w:val="BodyText"/>
            </w:pPr>
            <w:r>
              <w:t>2-3</w:t>
            </w:r>
          </w:p>
        </w:tc>
        <w:tc>
          <w:tcPr>
            <w:tcW w:w="1708" w:type="dxa"/>
          </w:tcPr>
          <w:p w:rsidR="009B505D" w:rsidRDefault="009B505D" w:rsidP="00A6097D">
            <w:pPr>
              <w:pStyle w:val="BodyText"/>
            </w:pPr>
            <w:r>
              <w:t>CSS</w:t>
            </w:r>
          </w:p>
        </w:tc>
        <w:tc>
          <w:tcPr>
            <w:tcW w:w="5178" w:type="dxa"/>
            <w:gridSpan w:val="3"/>
            <w:vMerge/>
          </w:tcPr>
          <w:p w:rsidR="009B505D" w:rsidRDefault="009B505D" w:rsidP="00A6097D">
            <w:pPr>
              <w:pStyle w:val="BodyText"/>
            </w:pPr>
          </w:p>
        </w:tc>
      </w:tr>
    </w:tbl>
    <w:p w:rsidR="009B505D" w:rsidRDefault="009B505D" w:rsidP="009B505D">
      <w:pPr>
        <w:pStyle w:val="BodyText"/>
      </w:pPr>
    </w:p>
    <w:p w:rsidR="00575C70" w:rsidRDefault="00611B71" w:rsidP="00575C70">
      <w:pPr>
        <w:pStyle w:val="Heading1"/>
      </w:pPr>
      <w:r>
        <w:t>Discussion s</w:t>
      </w:r>
      <w:r w:rsidR="00575C70">
        <w:t>ummary</w:t>
      </w:r>
    </w:p>
    <w:p w:rsidR="003A5E26" w:rsidRDefault="003A5E26" w:rsidP="003A5E26">
      <w:pPr>
        <w:pStyle w:val="Heading2"/>
      </w:pPr>
      <w:r>
        <w:t>DCI size budget</w:t>
      </w:r>
    </w:p>
    <w:p w:rsidR="003A5E26" w:rsidRDefault="003A5E26" w:rsidP="003A5E26">
      <w:pPr>
        <w:pStyle w:val="BodyText"/>
      </w:pPr>
      <w:r>
        <w:t>At the January AdHoc the following working assumption was made:</w:t>
      </w:r>
    </w:p>
    <w:p w:rsidR="003A5E26" w:rsidRDefault="003A5E26" w:rsidP="003A5E26">
      <w:pPr>
        <w:pStyle w:val="BodyText"/>
      </w:pPr>
      <w:r>
        <w:rPr>
          <w:noProof/>
        </w:rPr>
        <mc:AlternateContent>
          <mc:Choice Requires="wps">
            <w:drawing>
              <wp:inline distT="0" distB="0" distL="0" distR="0">
                <wp:extent cx="5772150" cy="533400"/>
                <wp:effectExtent l="0" t="0" r="1905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533400"/>
                        </a:xfrm>
                        <a:prstGeom prst="rect">
                          <a:avLst/>
                        </a:prstGeom>
                        <a:solidFill>
                          <a:srgbClr val="FFFFFF"/>
                        </a:solidFill>
                        <a:ln w="9525">
                          <a:solidFill>
                            <a:srgbClr val="000000"/>
                          </a:solidFill>
                          <a:miter lim="800000"/>
                          <a:headEnd/>
                          <a:tailEnd/>
                        </a:ln>
                      </wps:spPr>
                      <wps:txbx>
                        <w:txbxContent>
                          <w:p w:rsidR="00BD4CF7" w:rsidRPr="00041508" w:rsidRDefault="00BD4CF7"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BD4CF7" w:rsidRPr="00041508" w:rsidRDefault="00BD4CF7" w:rsidP="00C767FF">
                            <w:pPr>
                              <w:pStyle w:val="BodyText"/>
                              <w:numPr>
                                <w:ilvl w:val="1"/>
                                <w:numId w:val="4"/>
                              </w:numPr>
                              <w:rPr>
                                <w:szCs w:val="20"/>
                              </w:rPr>
                            </w:pPr>
                            <w:r w:rsidRPr="00041508">
                              <w:rPr>
                                <w:szCs w:val="20"/>
                              </w:rPr>
                              <w:t>At most 3 different DCI sizes are monitored per C-RNTI per slot</w:t>
                            </w:r>
                          </w:p>
                          <w:p w:rsidR="00BD4CF7" w:rsidRDefault="00BD4CF7"/>
                        </w:txbxContent>
                      </wps:txbx>
                      <wps:bodyPr rot="0" vert="horz" wrap="square" lIns="91440" tIns="45720" rIns="91440" bIns="45720" anchor="t" anchorCtr="0">
                        <a:noAutofit/>
                      </wps:bodyPr>
                    </wps:wsp>
                  </a:graphicData>
                </a:graphic>
              </wp:inline>
            </w:drawing>
          </mc:Choice>
          <mc:Fallback>
            <w:pict>
              <v:shape id="_x0000_s1028" type="#_x0000_t202" style="width:454.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">
                <v:textbox>
                  <w:txbxContent>
                    <w:p w:rsidR="00BD4CF7" w:rsidRPr="00041508" w:rsidRDefault="00BD4CF7"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BD4CF7" w:rsidRPr="00041508" w:rsidRDefault="00BD4CF7" w:rsidP="00C767FF">
                      <w:pPr>
                        <w:pStyle w:val="BodyText"/>
                        <w:numPr>
                          <w:ilvl w:val="1"/>
                          <w:numId w:val="4"/>
                        </w:numPr>
                        <w:rPr>
                          <w:szCs w:val="20"/>
                        </w:rPr>
                      </w:pPr>
                      <w:r w:rsidRPr="00041508">
                        <w:rPr>
                          <w:szCs w:val="20"/>
                        </w:rPr>
                        <w:t>At most 3 different DCI sizes are monitored per C-RNTI per slot</w:t>
                      </w:r>
                    </w:p>
                    <w:p w:rsidR="00BD4CF7" w:rsidRDefault="00BD4CF7"/>
                  </w:txbxContent>
                </v:textbox>
                <w10:anchorlock/>
              </v:shape>
            </w:pict>
          </mc:Fallback>
        </mc:AlternateContent>
      </w:r>
    </w:p>
    <w:p w:rsidR="00B223FF" w:rsidRDefault="00B223FF" w:rsidP="003A5E26">
      <w:pPr>
        <w:pStyle w:val="BodyText"/>
        <w:rPr>
          <w:b/>
        </w:rPr>
      </w:pPr>
    </w:p>
    <w:p w:rsidR="00BD4CF7" w:rsidRPr="00611B71" w:rsidRDefault="00BD4CF7" w:rsidP="003A5E26">
      <w:pPr>
        <w:pStyle w:val="BodyText"/>
        <w:rPr>
          <w:b/>
        </w:rPr>
      </w:pPr>
      <w:r w:rsidRPr="00611B71">
        <w:rPr>
          <w:b/>
        </w:rPr>
        <w:t>Discussion:</w:t>
      </w:r>
    </w:p>
    <w:p w:rsidR="00BD4CF7" w:rsidRDefault="0005214B" w:rsidP="003A5E26">
      <w:pPr>
        <w:pStyle w:val="BodyText"/>
      </w:pPr>
      <w:r>
        <w:t>Keep WA, “3+1” size budget</w:t>
      </w:r>
    </w:p>
    <w:p w:rsidR="003F40C6" w:rsidRDefault="003F40C6" w:rsidP="003F40C6">
      <w:pPr>
        <w:pStyle w:val="Heading2"/>
      </w:pPr>
      <w:r>
        <w:t>How to limit the number of DCI sizes with C-RNTI</w:t>
      </w:r>
      <w:r w:rsidR="00C43A6C">
        <w:t xml:space="preserve"> in USS</w:t>
      </w:r>
    </w:p>
    <w:p w:rsidR="00725808" w:rsidRDefault="00725808" w:rsidP="00725808">
      <w:pPr>
        <w:pStyle w:val="BodyText"/>
      </w:pPr>
      <w:r>
        <w:t>At RAN1#92, the following working assumption was made:</w:t>
      </w:r>
    </w:p>
    <w:p w:rsidR="00725808" w:rsidRPr="00725808" w:rsidRDefault="00725808" w:rsidP="00725808">
      <w:pPr>
        <w:pStyle w:val="BodyText"/>
      </w:pPr>
      <w:r>
        <w:rPr>
          <w:noProof/>
        </w:rPr>
        <mc:AlternateContent>
          <mc:Choice Requires="wps">
            <w:drawing>
              <wp:inline distT="0" distB="0" distL="0" distR="0">
                <wp:extent cx="5746750" cy="1404620"/>
                <wp:effectExtent l="0" t="0" r="2540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404620"/>
                        </a:xfrm>
                        <a:prstGeom prst="rect">
                          <a:avLst/>
                        </a:prstGeom>
                        <a:solidFill>
                          <a:srgbClr val="FFFFFF"/>
                        </a:solidFill>
                        <a:ln w="9525">
                          <a:solidFill>
                            <a:srgbClr val="000000"/>
                          </a:solidFill>
                          <a:miter lim="800000"/>
                          <a:headEnd/>
                          <a:tailEnd/>
                        </a:ln>
                      </wps:spPr>
                      <wps:txbx>
                        <w:txbxContent>
                          <w:p w:rsidR="00BD4CF7" w:rsidRDefault="00BD4CF7" w:rsidP="00725808">
                            <w:pPr>
                              <w:pStyle w:val="BodyText"/>
                            </w:pPr>
                            <w:r>
                              <w:rPr>
                                <w:highlight w:val="darkYellow"/>
                              </w:rPr>
                              <w:t>W</w:t>
                            </w:r>
                            <w:r w:rsidRPr="00311C38">
                              <w:rPr>
                                <w:highlight w:val="darkYellow"/>
                              </w:rPr>
                              <w:t>orking assumption</w:t>
                            </w:r>
                            <w:r>
                              <w:t>:</w:t>
                            </w:r>
                          </w:p>
                          <w:p w:rsidR="00BD4CF7" w:rsidRDefault="00BD4CF7" w:rsidP="00C767FF">
                            <w:pPr>
                              <w:pStyle w:val="BodyText"/>
                              <w:numPr>
                                <w:ilvl w:val="0"/>
                                <w:numId w:val="5"/>
                              </w:numPr>
                            </w:pPr>
                            <w:r>
                              <w:t>When monitoring for DCI in a BWP, the size of DCI format 0-0/1-0 is given by</w:t>
                            </w:r>
                          </w:p>
                          <w:p w:rsidR="00BD4CF7" w:rsidRDefault="00BD4CF7" w:rsidP="00C767FF">
                            <w:pPr>
                              <w:pStyle w:val="BodyText"/>
                              <w:numPr>
                                <w:ilvl w:val="0"/>
                                <w:numId w:val="5"/>
                              </w:numPr>
                              <w:ind w:left="1080"/>
                            </w:pPr>
                            <w:r>
                              <w:t>For format 0-0/1-0 (regardless of RNTI) in CSS, the size is given by the initial DL BWP</w:t>
                            </w:r>
                          </w:p>
                          <w:p w:rsidR="00BD4CF7" w:rsidRDefault="00BD4CF7" w:rsidP="00C767FF">
                            <w:pPr>
                              <w:pStyle w:val="BodyText"/>
                              <w:numPr>
                                <w:ilvl w:val="0"/>
                                <w:numId w:val="5"/>
                              </w:numPr>
                              <w:ind w:left="1080"/>
                            </w:pPr>
                            <w:r>
                              <w:t xml:space="preserve">For format 0-0/1-0 in USS, the size is given by the active BWP as long as the DCI size budget is fulfilled </w:t>
                            </w:r>
                          </w:p>
                          <w:p w:rsidR="00BD4CF7" w:rsidRDefault="00BD4CF7" w:rsidP="00C767FF">
                            <w:pPr>
                              <w:pStyle w:val="BodyText"/>
                              <w:numPr>
                                <w:ilvl w:val="1"/>
                                <w:numId w:val="5"/>
                              </w:numPr>
                              <w:ind w:left="1800"/>
                            </w:pPr>
                            <w:r>
                              <w:t>FFS: Otherwise, for format 0-0/1-0, the size is given by the initial DL BWP</w:t>
                            </w:r>
                          </w:p>
                        </w:txbxContent>
                      </wps:txbx>
                      <wps:bodyPr rot="0" vert="horz" wrap="square" lIns="91440" tIns="45720" rIns="91440" bIns="45720" anchor="t" anchorCtr="0">
                        <a:spAutoFit/>
                      </wps:bodyPr>
                    </wps:wsp>
                  </a:graphicData>
                </a:graphic>
              </wp:inline>
            </w:drawing>
          </mc:Choice>
          <mc:Fallback>
            <w:pict>
              <v:shape id="_x0000_s1029" type="#_x0000_t202" style="width:4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">
                <v:textbox style="mso-fit-shape-to-text:t">
                  <w:txbxContent>
                    <w:p w:rsidR="00BD4CF7" w:rsidRDefault="00BD4CF7" w:rsidP="00725808">
                      <w:pPr>
                        <w:pStyle w:val="BodyText"/>
                      </w:pPr>
                      <w:r>
                        <w:rPr>
                          <w:highlight w:val="darkYellow"/>
                        </w:rPr>
                        <w:t>W</w:t>
                      </w:r>
                      <w:r w:rsidRPr="00311C38">
                        <w:rPr>
                          <w:highlight w:val="darkYellow"/>
                        </w:rPr>
                        <w:t>orking assumption</w:t>
                      </w:r>
                      <w:r>
                        <w:t>:</w:t>
                      </w:r>
                    </w:p>
                    <w:p w:rsidR="00BD4CF7" w:rsidRDefault="00BD4CF7" w:rsidP="00C767FF">
                      <w:pPr>
                        <w:pStyle w:val="BodyText"/>
                        <w:numPr>
                          <w:ilvl w:val="0"/>
                          <w:numId w:val="5"/>
                        </w:numPr>
                      </w:pPr>
                      <w:r>
                        <w:t>When monitoring for DCI in a BWP, the size of DCI format 0-0/1-0 is given by</w:t>
                      </w:r>
                    </w:p>
                    <w:p w:rsidR="00BD4CF7" w:rsidRDefault="00BD4CF7" w:rsidP="00C767FF">
                      <w:pPr>
                        <w:pStyle w:val="BodyText"/>
                        <w:numPr>
                          <w:ilvl w:val="0"/>
                          <w:numId w:val="5"/>
                        </w:numPr>
                        <w:ind w:left="1080"/>
                      </w:pPr>
                      <w:r>
                        <w:t>For format 0-0/1-0 (regardless of RNTI) in CSS, the size is given by the initial DL BWP</w:t>
                      </w:r>
                    </w:p>
                    <w:p w:rsidR="00BD4CF7" w:rsidRDefault="00BD4CF7" w:rsidP="00C767FF">
                      <w:pPr>
                        <w:pStyle w:val="BodyText"/>
                        <w:numPr>
                          <w:ilvl w:val="0"/>
                          <w:numId w:val="5"/>
                        </w:numPr>
                        <w:ind w:left="1080"/>
                      </w:pPr>
                      <w:r>
                        <w:t xml:space="preserve">For format 0-0/1-0 in USS, the size is given by the active BWP as long as the DCI size budget is fulfilled </w:t>
                      </w:r>
                    </w:p>
                    <w:p w:rsidR="00BD4CF7" w:rsidRDefault="00BD4CF7" w:rsidP="00C767FF">
                      <w:pPr>
                        <w:pStyle w:val="BodyText"/>
                        <w:numPr>
                          <w:ilvl w:val="1"/>
                          <w:numId w:val="5"/>
                        </w:numPr>
                        <w:ind w:left="1800"/>
                      </w:pPr>
                      <w:r>
                        <w:t>FFS: Otherwise, for format 0-0/1-0, the size is given by the initial DL BWP</w:t>
                      </w:r>
                    </w:p>
                  </w:txbxContent>
                </v:textbox>
                <w10:anchorlock/>
              </v:shape>
            </w:pict>
          </mc:Fallback>
        </mc:AlternateContent>
      </w:r>
    </w:p>
    <w:p w:rsidR="00485407" w:rsidRDefault="00485407" w:rsidP="00485407">
      <w:pPr>
        <w:pStyle w:val="BodyText"/>
      </w:pPr>
    </w:p>
    <w:p w:rsidR="007F74DE" w:rsidRDefault="007F74DE" w:rsidP="00485407">
      <w:pPr>
        <w:pStyle w:val="BodyText"/>
        <w:rPr>
          <w:b/>
        </w:rPr>
      </w:pPr>
      <w:r w:rsidRPr="00611B71">
        <w:rPr>
          <w:b/>
        </w:rPr>
        <w:t>Discussion:</w:t>
      </w:r>
    </w:p>
    <w:p w:rsidR="007F74DE" w:rsidRDefault="009D5F16" w:rsidP="00485407">
      <w:pPr>
        <w:pStyle w:val="BodyText"/>
      </w:pPr>
      <w:r>
        <w:t>DCI sizes to monitor does not vary dynamically from slot-to-slot but are based on configuration</w:t>
      </w:r>
      <w:r w:rsidR="005D7F8E">
        <w:t xml:space="preserve"> and is based on CSS/USS configuration and/or active BWP</w:t>
      </w:r>
      <w:r>
        <w:t>.</w:t>
      </w:r>
    </w:p>
    <w:p w:rsidR="00611B71" w:rsidRPr="00611B71" w:rsidRDefault="00611B71" w:rsidP="00611B71">
      <w:pPr>
        <w:pStyle w:val="BodyText"/>
      </w:pPr>
      <w:r w:rsidRPr="00611B71">
        <w:t>For CSS, the WA is ok.</w:t>
      </w:r>
    </w:p>
    <w:p w:rsidR="00205F3B" w:rsidRDefault="00611B71" w:rsidP="00485407">
      <w:pPr>
        <w:pStyle w:val="BodyText"/>
      </w:pPr>
      <w:r>
        <w:t>For USS, h</w:t>
      </w:r>
      <w:r w:rsidR="00205F3B">
        <w:t>ow to meet DCI size budget:</w:t>
      </w:r>
    </w:p>
    <w:p w:rsidR="00BB153A" w:rsidRDefault="00BB153A" w:rsidP="00BB153A">
      <w:pPr>
        <w:pStyle w:val="BodyText"/>
        <w:numPr>
          <w:ilvl w:val="0"/>
          <w:numId w:val="40"/>
        </w:numPr>
      </w:pPr>
      <w:r>
        <w:t>Option 1:</w:t>
      </w:r>
    </w:p>
    <w:p w:rsidR="00BB153A" w:rsidRPr="008B0D82" w:rsidRDefault="00BB153A" w:rsidP="00BB153A">
      <w:pPr>
        <w:pStyle w:val="BodyText"/>
        <w:numPr>
          <w:ilvl w:val="1"/>
          <w:numId w:val="40"/>
        </w:numPr>
        <w:rPr>
          <w:i/>
        </w:rPr>
      </w:pPr>
      <w:r w:rsidRPr="008B0D82">
        <w:rPr>
          <w:i/>
        </w:rPr>
        <w:t>For format 0-0/1-0 in USS, the size is given by the active BWP as long as the DCI size budget is fulfilled</w:t>
      </w:r>
    </w:p>
    <w:p w:rsidR="00BB153A" w:rsidRPr="00BB153A" w:rsidRDefault="00BB153A" w:rsidP="00BB153A">
      <w:pPr>
        <w:pStyle w:val="BodyText"/>
        <w:numPr>
          <w:ilvl w:val="2"/>
          <w:numId w:val="40"/>
        </w:numPr>
        <w:rPr>
          <w:i/>
        </w:rPr>
      </w:pPr>
      <w:r w:rsidRPr="00AB2388">
        <w:rPr>
          <w:i/>
          <w:strike/>
          <w:color w:val="FF0000"/>
        </w:rPr>
        <w:t>FFS:</w:t>
      </w:r>
      <w:r>
        <w:rPr>
          <w:i/>
        </w:rPr>
        <w:t xml:space="preserve"> </w:t>
      </w:r>
      <w:r w:rsidRPr="008B0D82">
        <w:rPr>
          <w:i/>
        </w:rPr>
        <w:t>Otherwise, for format 0-0/1-0, the size is given by the initial DL BWP</w:t>
      </w:r>
    </w:p>
    <w:p w:rsidR="00BB153A" w:rsidRDefault="00BB153A" w:rsidP="00BB153A">
      <w:pPr>
        <w:pStyle w:val="BodyText"/>
        <w:numPr>
          <w:ilvl w:val="0"/>
          <w:numId w:val="40"/>
        </w:numPr>
      </w:pPr>
      <w:r>
        <w:lastRenderedPageBreak/>
        <w:t xml:space="preserve">Option 3: </w:t>
      </w:r>
    </w:p>
    <w:p w:rsidR="007F74DE" w:rsidRDefault="009D5F16" w:rsidP="00BB153A">
      <w:pPr>
        <w:pStyle w:val="BodyText"/>
        <w:numPr>
          <w:ilvl w:val="1"/>
          <w:numId w:val="40"/>
        </w:numPr>
      </w:pPr>
      <w:r>
        <w:t>If the active BWP has a different size than the initial BWP, and if DCI formats 0-0/1-0 are configured in USS</w:t>
      </w:r>
      <w:r w:rsidR="009403FA">
        <w:t>,</w:t>
      </w:r>
      <w:r>
        <w:t xml:space="preserve"> then the size of DCI formats 0-1 and 1-1 are aligned, otherwise they are not aligned.</w:t>
      </w:r>
    </w:p>
    <w:p w:rsidR="00BB153A" w:rsidRDefault="003343CF" w:rsidP="00485407">
      <w:pPr>
        <w:pStyle w:val="BodyText"/>
      </w:pPr>
      <w:r>
        <w:t>The majority seems to be in favor of option 1</w:t>
      </w:r>
    </w:p>
    <w:p w:rsidR="005D7F8E" w:rsidRDefault="005D7F8E" w:rsidP="00485407">
      <w:pPr>
        <w:pStyle w:val="BodyText"/>
      </w:pPr>
      <w:r>
        <w:t>Note: if the DCI size budget was increased to “4+1” (or 4), then there is no nee</w:t>
      </w:r>
      <w:r w:rsidR="00205F3B">
        <w:t xml:space="preserve">d </w:t>
      </w:r>
      <w:r>
        <w:t>of</w:t>
      </w:r>
      <w:r w:rsidR="00205F3B">
        <w:t xml:space="preserve"> either</w:t>
      </w:r>
      <w:r>
        <w:t xml:space="preserve"> option 1 or 3.</w:t>
      </w:r>
    </w:p>
    <w:p w:rsidR="00205F3B" w:rsidRDefault="00205F3B" w:rsidP="00485407">
      <w:pPr>
        <w:pStyle w:val="BodyText"/>
      </w:pPr>
      <w:r>
        <w:t>Only self-scheduling has been discussed, cross-carrier scheduling has not been discussed.</w:t>
      </w:r>
    </w:p>
    <w:p w:rsidR="00611B71" w:rsidRDefault="00611B71" w:rsidP="00611B71">
      <w:pPr>
        <w:pStyle w:val="Heading2"/>
      </w:pPr>
      <w:r>
        <w:t>Interpretation of RIV for DCI formats 0-0/1-0 with “common” RNTIs</w:t>
      </w:r>
    </w:p>
    <w:p w:rsidR="00611B71" w:rsidRDefault="00611B71" w:rsidP="00611B71">
      <w:pPr>
        <w:pStyle w:val="BodyText"/>
      </w:pPr>
      <w:r>
        <w:t xml:space="preserve">A DCI message received in the CSS and intended to schedule data for multiple UEs, i.e., a DCI message using a “common” RNTI such as P-RNTI, SI-RNTI, or RA-RNTI, must point to the same set of resource blocks for the PDSCH payload regardless of the BWP being active in the different UEs. Obviously there RBs must be within the region of the active BWP for a UE but different UEs can have differently sized active BWPs (e.g. due to BWP adaptation). </w:t>
      </w:r>
    </w:p>
    <w:p w:rsidR="00611B71" w:rsidRPr="00611B71" w:rsidRDefault="00611B71" w:rsidP="00611B71">
      <w:pPr>
        <w:pStyle w:val="BodyText"/>
        <w:rPr>
          <w:b/>
        </w:rPr>
      </w:pPr>
      <w:r w:rsidRPr="00611B71">
        <w:rPr>
          <w:b/>
        </w:rPr>
        <w:t>Discussion:</w:t>
      </w:r>
    </w:p>
    <w:p w:rsidR="00611B71" w:rsidRDefault="00611B71" w:rsidP="00611B71">
      <w:pPr>
        <w:pStyle w:val="BodyText"/>
      </w:pPr>
      <w:r>
        <w:t xml:space="preserve">For DCI format 1-0 in CSS with P-RNTI, SI-RNTI, [TC-RNTI,] or RA-RNTI, </w:t>
      </w:r>
    </w:p>
    <w:p w:rsidR="00611B71" w:rsidRDefault="00611B71" w:rsidP="00611B71">
      <w:pPr>
        <w:pStyle w:val="BodyText"/>
        <w:numPr>
          <w:ilvl w:val="0"/>
          <w:numId w:val="41"/>
        </w:numPr>
      </w:pPr>
      <w:r>
        <w:t>the RB numbering for the scheduled PDSCH starts from the lowest RB in the CORESET the DCI is received in</w:t>
      </w:r>
    </w:p>
    <w:p w:rsidR="00611B71" w:rsidRDefault="00611B71" w:rsidP="00611B71">
      <w:pPr>
        <w:pStyle w:val="BodyText"/>
        <w:numPr>
          <w:ilvl w:val="0"/>
          <w:numId w:val="41"/>
        </w:numPr>
      </w:pPr>
      <w:r>
        <w:t>the maximum number of RBs possible to indicate in the DCI is given by the size of the initial DL BWP.</w:t>
      </w:r>
    </w:p>
    <w:p w:rsidR="00725808" w:rsidRDefault="0036210B" w:rsidP="00725808">
      <w:pPr>
        <w:pStyle w:val="Heading2"/>
      </w:pPr>
      <w:r>
        <w:t xml:space="preserve">Interpretation of RIV for DCI formats 0-0/1-0 </w:t>
      </w:r>
      <w:r w:rsidR="00983106">
        <w:t>with C-RNTI</w:t>
      </w:r>
    </w:p>
    <w:p w:rsidR="006804CC" w:rsidRDefault="006804CC" w:rsidP="006804CC">
      <w:pPr>
        <w:pStyle w:val="BodyText"/>
      </w:pPr>
      <w:r>
        <w:t>As seen in the table in the introduction, a mechanism to convert a DCI format from one BWP size to another BWP size is required</w:t>
      </w:r>
      <w:r w:rsidR="00611B71">
        <w:t xml:space="preserve">, at least for the CSS and possibly for USS depending on the option selected. Several </w:t>
      </w:r>
      <w:r>
        <w:t>companies proposed (variants of) the following procedure:</w:t>
      </w:r>
    </w:p>
    <w:p w:rsidR="006804CC" w:rsidRDefault="006804CC" w:rsidP="00C767FF">
      <w:pPr>
        <w:pStyle w:val="BodyText"/>
        <w:numPr>
          <w:ilvl w:val="0"/>
          <w:numId w:val="5"/>
        </w:numPr>
      </w:pPr>
      <w:r>
        <w:t xml:space="preserve">Determine start (S) and length (L) from RIV based on the </w:t>
      </w:r>
      <w:r w:rsidR="00CA3468">
        <w:t xml:space="preserve">initial </w:t>
      </w:r>
      <w:r w:rsidR="003708C7">
        <w:t xml:space="preserve">DL </w:t>
      </w:r>
      <w:r>
        <w:t xml:space="preserve">BWP </w:t>
      </w:r>
      <w:r w:rsidR="00CA3468">
        <w:t>(i.e. the BWP which was used to define the DCI size)</w:t>
      </w:r>
    </w:p>
    <w:p w:rsidR="006804CC" w:rsidRDefault="006804CC" w:rsidP="00C767FF">
      <w:pPr>
        <w:pStyle w:val="BodyText"/>
        <w:numPr>
          <w:ilvl w:val="0"/>
          <w:numId w:val="5"/>
        </w:numPr>
      </w:pPr>
      <w:r>
        <w:t>Apply scaling such that S’=k1*S</w:t>
      </w:r>
      <w:r w:rsidR="00CA3468">
        <w:t xml:space="preserve"> and L’=k2*L</w:t>
      </w:r>
    </w:p>
    <w:p w:rsidR="00611B71" w:rsidRDefault="00611B71" w:rsidP="00611B71">
      <w:pPr>
        <w:pStyle w:val="BodyText"/>
        <w:numPr>
          <w:ilvl w:val="1"/>
          <w:numId w:val="5"/>
        </w:numPr>
      </w:pPr>
      <w:r>
        <w:t xml:space="preserve">Example: </w:t>
      </w:r>
      <w:r>
        <w:t>k1=k2=max(1, floor(active BWP/initial BWP))</w:t>
      </w:r>
    </w:p>
    <w:p w:rsidR="00CA3468" w:rsidRDefault="00CA3468" w:rsidP="00C767FF">
      <w:pPr>
        <w:pStyle w:val="BodyText"/>
        <w:numPr>
          <w:ilvl w:val="0"/>
          <w:numId w:val="5"/>
        </w:numPr>
      </w:pPr>
      <w:r>
        <w:t>Apply S’ and L’ to the active BWP</w:t>
      </w:r>
    </w:p>
    <w:p w:rsidR="00611B71" w:rsidRDefault="00611B71" w:rsidP="0036210B">
      <w:pPr>
        <w:pStyle w:val="BodyText"/>
        <w:rPr>
          <w:b/>
        </w:rPr>
      </w:pPr>
    </w:p>
    <w:p w:rsidR="00054E10" w:rsidRPr="00611B71" w:rsidRDefault="00054E10" w:rsidP="0036210B">
      <w:pPr>
        <w:pStyle w:val="BodyText"/>
        <w:rPr>
          <w:b/>
        </w:rPr>
      </w:pPr>
      <w:r w:rsidRPr="00611B71">
        <w:rPr>
          <w:b/>
        </w:rPr>
        <w:t>Discussion:</w:t>
      </w:r>
    </w:p>
    <w:p w:rsidR="00054E10" w:rsidRDefault="00510139" w:rsidP="0036210B">
      <w:pPr>
        <w:pStyle w:val="BodyText"/>
      </w:pPr>
      <w:r>
        <w:t xml:space="preserve">For C-RNTI in CSS: same approach as for “common” RNTIs in CSS </w:t>
      </w:r>
    </w:p>
    <w:p w:rsidR="00CE4538" w:rsidRDefault="00510139" w:rsidP="0036210B">
      <w:pPr>
        <w:pStyle w:val="BodyText"/>
      </w:pPr>
      <w:r>
        <w:t>For C-RNTI in USS:</w:t>
      </w:r>
      <w:r w:rsidR="00CE4538">
        <w:t xml:space="preserve"> </w:t>
      </w:r>
    </w:p>
    <w:p w:rsidR="00510139" w:rsidRDefault="00CE4538" w:rsidP="00CE4538">
      <w:pPr>
        <w:pStyle w:val="BodyText"/>
        <w:numPr>
          <w:ilvl w:val="0"/>
          <w:numId w:val="42"/>
        </w:numPr>
      </w:pPr>
      <w:r>
        <w:t>For UL: no need for scaling (bits are available</w:t>
      </w:r>
      <w:r w:rsidR="00611B71">
        <w:t xml:space="preserve"> in the DCI</w:t>
      </w:r>
      <w:r>
        <w:t>)</w:t>
      </w:r>
    </w:p>
    <w:p w:rsidR="00CE4538" w:rsidRDefault="00CE4538" w:rsidP="00CE4538">
      <w:pPr>
        <w:pStyle w:val="BodyText"/>
        <w:numPr>
          <w:ilvl w:val="0"/>
          <w:numId w:val="42"/>
        </w:numPr>
      </w:pPr>
      <w:r>
        <w:t>For DL: ?</w:t>
      </w:r>
    </w:p>
    <w:p w:rsidR="00183361" w:rsidRDefault="00622ED8" w:rsidP="00183361">
      <w:pPr>
        <w:pStyle w:val="Heading2"/>
      </w:pPr>
      <w:r>
        <w:t xml:space="preserve">Size of </w:t>
      </w:r>
      <w:r w:rsidR="00183361">
        <w:t>DCI formats 2-2 and 2-3</w:t>
      </w:r>
    </w:p>
    <w:p w:rsidR="00183361" w:rsidRPr="00041508" w:rsidRDefault="0087050B" w:rsidP="00C767FF">
      <w:pPr>
        <w:pStyle w:val="BodyText"/>
        <w:numPr>
          <w:ilvl w:val="0"/>
          <w:numId w:val="4"/>
        </w:numPr>
        <w:rPr>
          <w:szCs w:val="20"/>
        </w:rPr>
      </w:pPr>
      <w:r w:rsidRPr="00041508">
        <w:rPr>
          <w:szCs w:val="20"/>
        </w:rPr>
        <w:t xml:space="preserve"> </w:t>
      </w:r>
      <w:r w:rsidR="00183361" w:rsidRPr="00041508">
        <w:rPr>
          <w:szCs w:val="20"/>
        </w:rPr>
        <w:t>(</w:t>
      </w:r>
      <w:r w:rsidR="00183361" w:rsidRPr="00041508">
        <w:rPr>
          <w:szCs w:val="20"/>
          <w:highlight w:val="darkYellow"/>
        </w:rPr>
        <w:t>working assumption</w:t>
      </w:r>
      <w:r w:rsidR="00183361" w:rsidRPr="00041508">
        <w:rPr>
          <w:szCs w:val="20"/>
        </w:rPr>
        <w:t>) Payload sizes for 2-2 and 2-3 are padded (if needed) to match the size of formats 0-0/1-0 as defined by the initial BWP</w:t>
      </w:r>
    </w:p>
    <w:p w:rsidR="005E70BB" w:rsidRPr="00611B71" w:rsidRDefault="005E70BB" w:rsidP="00183361">
      <w:pPr>
        <w:pStyle w:val="BodyText"/>
        <w:rPr>
          <w:b/>
          <w:szCs w:val="20"/>
        </w:rPr>
      </w:pPr>
      <w:r w:rsidRPr="00611B71">
        <w:rPr>
          <w:b/>
          <w:szCs w:val="20"/>
        </w:rPr>
        <w:t>Discussion:</w:t>
      </w:r>
    </w:p>
    <w:p w:rsidR="005E70BB" w:rsidRDefault="005E70BB" w:rsidP="00183361">
      <w:pPr>
        <w:pStyle w:val="BodyText"/>
        <w:rPr>
          <w:szCs w:val="20"/>
        </w:rPr>
      </w:pPr>
      <w:r>
        <w:rPr>
          <w:szCs w:val="20"/>
        </w:rPr>
        <w:t>Confirm WA.</w:t>
      </w:r>
    </w:p>
    <w:p w:rsidR="0087050B" w:rsidRPr="00041508" w:rsidRDefault="0087050B" w:rsidP="00183361">
      <w:pPr>
        <w:pStyle w:val="BodyText"/>
        <w:rPr>
          <w:szCs w:val="20"/>
        </w:rPr>
      </w:pPr>
    </w:p>
    <w:sectPr w:rsidR="0087050B" w:rsidRPr="00041508"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F1D" w:rsidRDefault="00897F1D" w:rsidP="00896408">
      <w:r>
        <w:separator/>
      </w:r>
    </w:p>
  </w:endnote>
  <w:endnote w:type="continuationSeparator" w:id="0">
    <w:p w:rsidR="00897F1D" w:rsidRDefault="00897F1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CF7" w:rsidRDefault="00BD4C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CF7" w:rsidRDefault="00BD4C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CF7" w:rsidRDefault="00BD4C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F1D" w:rsidRDefault="00897F1D" w:rsidP="00896408">
      <w:r>
        <w:separator/>
      </w:r>
    </w:p>
  </w:footnote>
  <w:footnote w:type="continuationSeparator" w:id="0">
    <w:p w:rsidR="00897F1D" w:rsidRDefault="00897F1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CF7" w:rsidRDefault="00BD4C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CF7" w:rsidRDefault="00BD4C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CF7" w:rsidRDefault="00BD4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496297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56096"/>
    <w:multiLevelType w:val="hybridMultilevel"/>
    <w:tmpl w:val="B058A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85174F"/>
    <w:multiLevelType w:val="hybridMultilevel"/>
    <w:tmpl w:val="98440AEE"/>
    <w:lvl w:ilvl="0" w:tplc="B45C9D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7A2CEF"/>
    <w:multiLevelType w:val="hybridMultilevel"/>
    <w:tmpl w:val="F5D0E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9945C1"/>
    <w:multiLevelType w:val="hybridMultilevel"/>
    <w:tmpl w:val="6DCC8D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30389"/>
    <w:multiLevelType w:val="hybridMultilevel"/>
    <w:tmpl w:val="921E0E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F73AA7"/>
    <w:multiLevelType w:val="hybridMultilevel"/>
    <w:tmpl w:val="A23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507CF5"/>
    <w:multiLevelType w:val="hybridMultilevel"/>
    <w:tmpl w:val="20ACD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A736FA"/>
    <w:multiLevelType w:val="hybridMultilevel"/>
    <w:tmpl w:val="B3CE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2"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B6B018E"/>
    <w:multiLevelType w:val="hybridMultilevel"/>
    <w:tmpl w:val="60729126"/>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3"/>
  </w:num>
  <w:num w:numId="3">
    <w:abstractNumId w:val="35"/>
  </w:num>
  <w:num w:numId="4">
    <w:abstractNumId w:val="1"/>
  </w:num>
  <w:num w:numId="5">
    <w:abstractNumId w:val="25"/>
  </w:num>
  <w:num w:numId="6">
    <w:abstractNumId w:val="26"/>
  </w:num>
  <w:num w:numId="7">
    <w:abstractNumId w:val="38"/>
  </w:num>
  <w:num w:numId="8">
    <w:abstractNumId w:val="23"/>
  </w:num>
  <w:num w:numId="9">
    <w:abstractNumId w:val="16"/>
  </w:num>
  <w:num w:numId="10">
    <w:abstractNumId w:val="17"/>
  </w:num>
  <w:num w:numId="11">
    <w:abstractNumId w:val="9"/>
  </w:num>
  <w:num w:numId="12">
    <w:abstractNumId w:val="14"/>
  </w:num>
  <w:num w:numId="13">
    <w:abstractNumId w:val="30"/>
  </w:num>
  <w:num w:numId="14">
    <w:abstractNumId w:val="27"/>
  </w:num>
  <w:num w:numId="15">
    <w:abstractNumId w:val="37"/>
  </w:num>
  <w:num w:numId="16">
    <w:abstractNumId w:val="0"/>
  </w:num>
  <w:num w:numId="17">
    <w:abstractNumId w:val="21"/>
  </w:num>
  <w:num w:numId="18">
    <w:abstractNumId w:val="8"/>
  </w:num>
  <w:num w:numId="19">
    <w:abstractNumId w:val="20"/>
  </w:num>
  <w:num w:numId="20">
    <w:abstractNumId w:val="24"/>
  </w:num>
  <w:num w:numId="21">
    <w:abstractNumId w:val="15"/>
  </w:num>
  <w:num w:numId="22">
    <w:abstractNumId w:val="39"/>
  </w:num>
  <w:num w:numId="23">
    <w:abstractNumId w:val="32"/>
  </w:num>
  <w:num w:numId="24">
    <w:abstractNumId w:val="7"/>
  </w:num>
  <w:num w:numId="25">
    <w:abstractNumId w:val="31"/>
  </w:num>
  <w:num w:numId="26">
    <w:abstractNumId w:val="2"/>
  </w:num>
  <w:num w:numId="27">
    <w:abstractNumId w:val="34"/>
  </w:num>
  <w:num w:numId="28">
    <w:abstractNumId w:val="36"/>
  </w:num>
  <w:num w:numId="29">
    <w:abstractNumId w:val="18"/>
  </w:num>
  <w:num w:numId="30">
    <w:abstractNumId w:val="29"/>
  </w:num>
  <w:num w:numId="31">
    <w:abstractNumId w:val="4"/>
  </w:num>
  <w:num w:numId="32">
    <w:abstractNumId w:val="19"/>
  </w:num>
  <w:num w:numId="33">
    <w:abstractNumId w:val="33"/>
  </w:num>
  <w:num w:numId="34">
    <w:abstractNumId w:val="13"/>
  </w:num>
  <w:num w:numId="35">
    <w:abstractNumId w:val="22"/>
  </w:num>
  <w:num w:numId="36">
    <w:abstractNumId w:val="6"/>
  </w:num>
  <w:num w:numId="37">
    <w:abstractNumId w:val="40"/>
  </w:num>
  <w:num w:numId="38">
    <w:abstractNumId w:val="28"/>
  </w:num>
  <w:num w:numId="39">
    <w:abstractNumId w:val="12"/>
  </w:num>
  <w:num w:numId="40">
    <w:abstractNumId w:val="5"/>
  </w:num>
  <w:num w:numId="41">
    <w:abstractNumId w:val="10"/>
  </w:num>
  <w:num w:numId="42">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4F13"/>
    <w:rsid w:val="00043579"/>
    <w:rsid w:val="0005214B"/>
    <w:rsid w:val="00054E10"/>
    <w:rsid w:val="00061D59"/>
    <w:rsid w:val="000726A8"/>
    <w:rsid w:val="00072E94"/>
    <w:rsid w:val="000772DC"/>
    <w:rsid w:val="00081E89"/>
    <w:rsid w:val="000B2B1D"/>
    <w:rsid w:val="000B6961"/>
    <w:rsid w:val="000C20C5"/>
    <w:rsid w:val="000C46BF"/>
    <w:rsid w:val="000C4A8E"/>
    <w:rsid w:val="000C5F12"/>
    <w:rsid w:val="000F0708"/>
    <w:rsid w:val="000F2824"/>
    <w:rsid w:val="00100F46"/>
    <w:rsid w:val="001040BD"/>
    <w:rsid w:val="00106665"/>
    <w:rsid w:val="00124EB6"/>
    <w:rsid w:val="001367BF"/>
    <w:rsid w:val="001372E8"/>
    <w:rsid w:val="0014756F"/>
    <w:rsid w:val="00151FE9"/>
    <w:rsid w:val="00161301"/>
    <w:rsid w:val="0017018D"/>
    <w:rsid w:val="00172B21"/>
    <w:rsid w:val="00183361"/>
    <w:rsid w:val="00183C62"/>
    <w:rsid w:val="00192A1D"/>
    <w:rsid w:val="001957AD"/>
    <w:rsid w:val="0019729A"/>
    <w:rsid w:val="001A4AC3"/>
    <w:rsid w:val="001B6357"/>
    <w:rsid w:val="001B64CA"/>
    <w:rsid w:val="001D38EB"/>
    <w:rsid w:val="001E16FD"/>
    <w:rsid w:val="001E2FED"/>
    <w:rsid w:val="001E5AFE"/>
    <w:rsid w:val="001F5876"/>
    <w:rsid w:val="001F6236"/>
    <w:rsid w:val="002023FE"/>
    <w:rsid w:val="00202F22"/>
    <w:rsid w:val="00205F3B"/>
    <w:rsid w:val="00207DA5"/>
    <w:rsid w:val="002157AC"/>
    <w:rsid w:val="002276FF"/>
    <w:rsid w:val="002453F8"/>
    <w:rsid w:val="00245781"/>
    <w:rsid w:val="002553B4"/>
    <w:rsid w:val="00262FC3"/>
    <w:rsid w:val="00264C7F"/>
    <w:rsid w:val="0028065B"/>
    <w:rsid w:val="00286B6D"/>
    <w:rsid w:val="002924D2"/>
    <w:rsid w:val="002B0DDD"/>
    <w:rsid w:val="002B2544"/>
    <w:rsid w:val="002B59EF"/>
    <w:rsid w:val="002C478D"/>
    <w:rsid w:val="002D160B"/>
    <w:rsid w:val="002D263D"/>
    <w:rsid w:val="002E0FF8"/>
    <w:rsid w:val="002E6476"/>
    <w:rsid w:val="00315BFB"/>
    <w:rsid w:val="0031746C"/>
    <w:rsid w:val="0033205D"/>
    <w:rsid w:val="003343CF"/>
    <w:rsid w:val="00341942"/>
    <w:rsid w:val="0034475B"/>
    <w:rsid w:val="0035540F"/>
    <w:rsid w:val="00360D53"/>
    <w:rsid w:val="0036210B"/>
    <w:rsid w:val="00365BA9"/>
    <w:rsid w:val="00365CE4"/>
    <w:rsid w:val="003708C7"/>
    <w:rsid w:val="00375EC8"/>
    <w:rsid w:val="00393FEA"/>
    <w:rsid w:val="00397999"/>
    <w:rsid w:val="003A3D8B"/>
    <w:rsid w:val="003A5E26"/>
    <w:rsid w:val="003D2D8C"/>
    <w:rsid w:val="003D4A05"/>
    <w:rsid w:val="003F17A5"/>
    <w:rsid w:val="003F40C6"/>
    <w:rsid w:val="00416DEC"/>
    <w:rsid w:val="00433299"/>
    <w:rsid w:val="00441261"/>
    <w:rsid w:val="004455E1"/>
    <w:rsid w:val="00452212"/>
    <w:rsid w:val="00456D9E"/>
    <w:rsid w:val="00462E49"/>
    <w:rsid w:val="0048093F"/>
    <w:rsid w:val="00485407"/>
    <w:rsid w:val="004900B0"/>
    <w:rsid w:val="004A48CD"/>
    <w:rsid w:val="004A752D"/>
    <w:rsid w:val="004B1350"/>
    <w:rsid w:val="004B6889"/>
    <w:rsid w:val="004B6C81"/>
    <w:rsid w:val="004C672E"/>
    <w:rsid w:val="004D257E"/>
    <w:rsid w:val="004D7FE0"/>
    <w:rsid w:val="004F430F"/>
    <w:rsid w:val="00504A5D"/>
    <w:rsid w:val="005053EA"/>
    <w:rsid w:val="00505623"/>
    <w:rsid w:val="00510139"/>
    <w:rsid w:val="00511208"/>
    <w:rsid w:val="005164F1"/>
    <w:rsid w:val="00517AF8"/>
    <w:rsid w:val="0052140E"/>
    <w:rsid w:val="0052442D"/>
    <w:rsid w:val="0053186E"/>
    <w:rsid w:val="00544261"/>
    <w:rsid w:val="00547223"/>
    <w:rsid w:val="005514B5"/>
    <w:rsid w:val="00556934"/>
    <w:rsid w:val="00566B18"/>
    <w:rsid w:val="00571275"/>
    <w:rsid w:val="005744A9"/>
    <w:rsid w:val="00575C70"/>
    <w:rsid w:val="00576A1A"/>
    <w:rsid w:val="00581DE3"/>
    <w:rsid w:val="005838EA"/>
    <w:rsid w:val="00585773"/>
    <w:rsid w:val="005C579E"/>
    <w:rsid w:val="005C77FC"/>
    <w:rsid w:val="005D04D6"/>
    <w:rsid w:val="005D1F07"/>
    <w:rsid w:val="005D316F"/>
    <w:rsid w:val="005D7F8E"/>
    <w:rsid w:val="005E000D"/>
    <w:rsid w:val="005E70BB"/>
    <w:rsid w:val="00603193"/>
    <w:rsid w:val="00606B37"/>
    <w:rsid w:val="00611B71"/>
    <w:rsid w:val="00614513"/>
    <w:rsid w:val="00622ED8"/>
    <w:rsid w:val="006249FD"/>
    <w:rsid w:val="0063517D"/>
    <w:rsid w:val="00666BD1"/>
    <w:rsid w:val="00672D94"/>
    <w:rsid w:val="006804CC"/>
    <w:rsid w:val="006840DD"/>
    <w:rsid w:val="0068782F"/>
    <w:rsid w:val="006A286A"/>
    <w:rsid w:val="006A4217"/>
    <w:rsid w:val="006B1667"/>
    <w:rsid w:val="006B21CA"/>
    <w:rsid w:val="006C51BB"/>
    <w:rsid w:val="006C7AB7"/>
    <w:rsid w:val="006E13D7"/>
    <w:rsid w:val="006F57A3"/>
    <w:rsid w:val="006F5A61"/>
    <w:rsid w:val="00703D09"/>
    <w:rsid w:val="0071316F"/>
    <w:rsid w:val="00714F6D"/>
    <w:rsid w:val="00717EAA"/>
    <w:rsid w:val="00725808"/>
    <w:rsid w:val="00730B9F"/>
    <w:rsid w:val="00737C08"/>
    <w:rsid w:val="007450C9"/>
    <w:rsid w:val="007465C4"/>
    <w:rsid w:val="0075366D"/>
    <w:rsid w:val="00762BF3"/>
    <w:rsid w:val="00766FA0"/>
    <w:rsid w:val="00770C90"/>
    <w:rsid w:val="0078136E"/>
    <w:rsid w:val="00785910"/>
    <w:rsid w:val="0078772E"/>
    <w:rsid w:val="007909B1"/>
    <w:rsid w:val="007A6612"/>
    <w:rsid w:val="007A72B4"/>
    <w:rsid w:val="007A7648"/>
    <w:rsid w:val="007C690E"/>
    <w:rsid w:val="007D5680"/>
    <w:rsid w:val="007F4917"/>
    <w:rsid w:val="007F5DBD"/>
    <w:rsid w:val="007F74DE"/>
    <w:rsid w:val="00802580"/>
    <w:rsid w:val="00802FBE"/>
    <w:rsid w:val="008172BB"/>
    <w:rsid w:val="008412FD"/>
    <w:rsid w:val="008455F2"/>
    <w:rsid w:val="00857E6D"/>
    <w:rsid w:val="00860654"/>
    <w:rsid w:val="00860E63"/>
    <w:rsid w:val="00862E79"/>
    <w:rsid w:val="0087050B"/>
    <w:rsid w:val="008814CF"/>
    <w:rsid w:val="00896408"/>
    <w:rsid w:val="00897F1D"/>
    <w:rsid w:val="008A0342"/>
    <w:rsid w:val="008A42A7"/>
    <w:rsid w:val="008D193F"/>
    <w:rsid w:val="008D493B"/>
    <w:rsid w:val="008D69A9"/>
    <w:rsid w:val="008E489B"/>
    <w:rsid w:val="008F3207"/>
    <w:rsid w:val="008F4513"/>
    <w:rsid w:val="00900A98"/>
    <w:rsid w:val="00901258"/>
    <w:rsid w:val="00922798"/>
    <w:rsid w:val="009264AB"/>
    <w:rsid w:val="00931200"/>
    <w:rsid w:val="009367BE"/>
    <w:rsid w:val="009403FA"/>
    <w:rsid w:val="00942F98"/>
    <w:rsid w:val="00945406"/>
    <w:rsid w:val="00946303"/>
    <w:rsid w:val="009564F5"/>
    <w:rsid w:val="009728BA"/>
    <w:rsid w:val="009740DC"/>
    <w:rsid w:val="00976C8B"/>
    <w:rsid w:val="009770FF"/>
    <w:rsid w:val="00977DCA"/>
    <w:rsid w:val="00983106"/>
    <w:rsid w:val="00985FB1"/>
    <w:rsid w:val="009A0611"/>
    <w:rsid w:val="009A227B"/>
    <w:rsid w:val="009B505D"/>
    <w:rsid w:val="009C560E"/>
    <w:rsid w:val="009D5F16"/>
    <w:rsid w:val="009E25DD"/>
    <w:rsid w:val="009E46CD"/>
    <w:rsid w:val="009F7D8C"/>
    <w:rsid w:val="00A3315E"/>
    <w:rsid w:val="00A33CD1"/>
    <w:rsid w:val="00A42CFD"/>
    <w:rsid w:val="00A567A6"/>
    <w:rsid w:val="00A57F10"/>
    <w:rsid w:val="00A6097D"/>
    <w:rsid w:val="00A6549D"/>
    <w:rsid w:val="00A84885"/>
    <w:rsid w:val="00A85FCC"/>
    <w:rsid w:val="00A92581"/>
    <w:rsid w:val="00A95743"/>
    <w:rsid w:val="00A96E4F"/>
    <w:rsid w:val="00AB2388"/>
    <w:rsid w:val="00AB353D"/>
    <w:rsid w:val="00AB5904"/>
    <w:rsid w:val="00AB6CD0"/>
    <w:rsid w:val="00AC5D2E"/>
    <w:rsid w:val="00AC5E23"/>
    <w:rsid w:val="00AC643E"/>
    <w:rsid w:val="00AD22CF"/>
    <w:rsid w:val="00B02645"/>
    <w:rsid w:val="00B02AA0"/>
    <w:rsid w:val="00B03ED8"/>
    <w:rsid w:val="00B06102"/>
    <w:rsid w:val="00B14E92"/>
    <w:rsid w:val="00B1604D"/>
    <w:rsid w:val="00B223FF"/>
    <w:rsid w:val="00B226D4"/>
    <w:rsid w:val="00B27481"/>
    <w:rsid w:val="00B30D5D"/>
    <w:rsid w:val="00B32A5A"/>
    <w:rsid w:val="00B368D9"/>
    <w:rsid w:val="00B45F1D"/>
    <w:rsid w:val="00B5007A"/>
    <w:rsid w:val="00B53811"/>
    <w:rsid w:val="00B6447D"/>
    <w:rsid w:val="00B715F8"/>
    <w:rsid w:val="00B72FED"/>
    <w:rsid w:val="00B7629B"/>
    <w:rsid w:val="00B92702"/>
    <w:rsid w:val="00B9752A"/>
    <w:rsid w:val="00BA67AF"/>
    <w:rsid w:val="00BB153A"/>
    <w:rsid w:val="00BB2430"/>
    <w:rsid w:val="00BB7B54"/>
    <w:rsid w:val="00BC5B4A"/>
    <w:rsid w:val="00BD4CF7"/>
    <w:rsid w:val="00BE1A22"/>
    <w:rsid w:val="00BE25D1"/>
    <w:rsid w:val="00BE4063"/>
    <w:rsid w:val="00BE5A3D"/>
    <w:rsid w:val="00BF6ABA"/>
    <w:rsid w:val="00C1560A"/>
    <w:rsid w:val="00C21130"/>
    <w:rsid w:val="00C25ED8"/>
    <w:rsid w:val="00C308A1"/>
    <w:rsid w:val="00C35309"/>
    <w:rsid w:val="00C35F8F"/>
    <w:rsid w:val="00C43A6C"/>
    <w:rsid w:val="00C60FA1"/>
    <w:rsid w:val="00C61B53"/>
    <w:rsid w:val="00C62894"/>
    <w:rsid w:val="00C720A2"/>
    <w:rsid w:val="00C767FF"/>
    <w:rsid w:val="00C77098"/>
    <w:rsid w:val="00C8496C"/>
    <w:rsid w:val="00C84D85"/>
    <w:rsid w:val="00C8651A"/>
    <w:rsid w:val="00CA3468"/>
    <w:rsid w:val="00CB15C3"/>
    <w:rsid w:val="00CB5A40"/>
    <w:rsid w:val="00CC1CA7"/>
    <w:rsid w:val="00CD1737"/>
    <w:rsid w:val="00CE155D"/>
    <w:rsid w:val="00CE1BFF"/>
    <w:rsid w:val="00CE4538"/>
    <w:rsid w:val="00CE6CB0"/>
    <w:rsid w:val="00CE7B9C"/>
    <w:rsid w:val="00D021A1"/>
    <w:rsid w:val="00D03072"/>
    <w:rsid w:val="00D039D3"/>
    <w:rsid w:val="00D213F0"/>
    <w:rsid w:val="00D26541"/>
    <w:rsid w:val="00D44A43"/>
    <w:rsid w:val="00D452D3"/>
    <w:rsid w:val="00D54895"/>
    <w:rsid w:val="00D55129"/>
    <w:rsid w:val="00D577BB"/>
    <w:rsid w:val="00D66AFD"/>
    <w:rsid w:val="00D677A2"/>
    <w:rsid w:val="00D722F6"/>
    <w:rsid w:val="00D72F8C"/>
    <w:rsid w:val="00D83041"/>
    <w:rsid w:val="00D92AB5"/>
    <w:rsid w:val="00DA0503"/>
    <w:rsid w:val="00DB14C6"/>
    <w:rsid w:val="00DB1DB0"/>
    <w:rsid w:val="00DB5084"/>
    <w:rsid w:val="00DB6ED2"/>
    <w:rsid w:val="00DC2E6E"/>
    <w:rsid w:val="00DD11CB"/>
    <w:rsid w:val="00DD5ECB"/>
    <w:rsid w:val="00DD6D69"/>
    <w:rsid w:val="00DE1BAA"/>
    <w:rsid w:val="00DE3E78"/>
    <w:rsid w:val="00DE57C8"/>
    <w:rsid w:val="00E10C1F"/>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56CD"/>
    <w:rsid w:val="00E86352"/>
    <w:rsid w:val="00E908CC"/>
    <w:rsid w:val="00EA269B"/>
    <w:rsid w:val="00EB1200"/>
    <w:rsid w:val="00EB26FB"/>
    <w:rsid w:val="00EB2E7D"/>
    <w:rsid w:val="00EC2F3D"/>
    <w:rsid w:val="00EC3F32"/>
    <w:rsid w:val="00EC7763"/>
    <w:rsid w:val="00EE0DF0"/>
    <w:rsid w:val="00EE2EAD"/>
    <w:rsid w:val="00EE7D40"/>
    <w:rsid w:val="00EF17E4"/>
    <w:rsid w:val="00EF603E"/>
    <w:rsid w:val="00F04346"/>
    <w:rsid w:val="00F058B8"/>
    <w:rsid w:val="00F1618E"/>
    <w:rsid w:val="00F346B4"/>
    <w:rsid w:val="00F512F5"/>
    <w:rsid w:val="00F61675"/>
    <w:rsid w:val="00F618ED"/>
    <w:rsid w:val="00F63519"/>
    <w:rsid w:val="00F667B2"/>
    <w:rsid w:val="00F709AF"/>
    <w:rsid w:val="00F749FA"/>
    <w:rsid w:val="00F74C55"/>
    <w:rsid w:val="00F81C1C"/>
    <w:rsid w:val="00F82736"/>
    <w:rsid w:val="00F8302D"/>
    <w:rsid w:val="00F8504A"/>
    <w:rsid w:val="00F90CFF"/>
    <w:rsid w:val="00F92325"/>
    <w:rsid w:val="00FA2D6F"/>
    <w:rsid w:val="00FC7919"/>
    <w:rsid w:val="00FD0EBD"/>
    <w:rsid w:val="00FD3B82"/>
    <w:rsid w:val="00FD5026"/>
    <w:rsid w:val="00FE1148"/>
    <w:rsid w:val="00FF199B"/>
    <w:rsid w:val="00FF303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F6A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52533890">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12516118">
      <w:bodyDiv w:val="1"/>
      <w:marLeft w:val="0"/>
      <w:marRight w:val="0"/>
      <w:marTop w:val="0"/>
      <w:marBottom w:val="0"/>
      <w:divBdr>
        <w:top w:val="none" w:sz="0" w:space="0" w:color="auto"/>
        <w:left w:val="none" w:sz="0" w:space="0" w:color="auto"/>
        <w:bottom w:val="none" w:sz="0" w:space="0" w:color="auto"/>
        <w:right w:val="none" w:sz="0" w:space="0" w:color="auto"/>
      </w:divBdr>
    </w:div>
    <w:div w:id="741877880">
      <w:bodyDiv w:val="1"/>
      <w:marLeft w:val="0"/>
      <w:marRight w:val="0"/>
      <w:marTop w:val="0"/>
      <w:marBottom w:val="0"/>
      <w:divBdr>
        <w:top w:val="none" w:sz="0" w:space="0" w:color="auto"/>
        <w:left w:val="none" w:sz="0" w:space="0" w:color="auto"/>
        <w:bottom w:val="none" w:sz="0" w:space="0" w:color="auto"/>
        <w:right w:val="none" w:sz="0" w:space="0" w:color="auto"/>
      </w:divBdr>
    </w:div>
    <w:div w:id="821194373">
      <w:bodyDiv w:val="1"/>
      <w:marLeft w:val="0"/>
      <w:marRight w:val="0"/>
      <w:marTop w:val="0"/>
      <w:marBottom w:val="0"/>
      <w:divBdr>
        <w:top w:val="none" w:sz="0" w:space="0" w:color="auto"/>
        <w:left w:val="none" w:sz="0" w:space="0" w:color="auto"/>
        <w:bottom w:val="none" w:sz="0" w:space="0" w:color="auto"/>
        <w:right w:val="none" w:sz="0" w:space="0" w:color="auto"/>
      </w:divBdr>
    </w:div>
    <w:div w:id="885870024">
      <w:bodyDiv w:val="1"/>
      <w:marLeft w:val="0"/>
      <w:marRight w:val="0"/>
      <w:marTop w:val="0"/>
      <w:marBottom w:val="0"/>
      <w:divBdr>
        <w:top w:val="none" w:sz="0" w:space="0" w:color="auto"/>
        <w:left w:val="none" w:sz="0" w:space="0" w:color="auto"/>
        <w:bottom w:val="none" w:sz="0" w:space="0" w:color="auto"/>
        <w:right w:val="none" w:sz="0" w:space="0" w:color="auto"/>
      </w:divBdr>
    </w:div>
    <w:div w:id="117541731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169363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19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14349-C91D-418A-889E-A50731B3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3398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2018-04-18T03:09:00Z</dcterms:created>
  <dcterms:modified xsi:type="dcterms:W3CDTF">2018-04-18T03:20:00Z</dcterms:modified>
</cp:coreProperties>
</file>